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CCFD4A" w14:textId="77777777" w:rsidR="00E47915" w:rsidRPr="00162C5C" w:rsidRDefault="00E47915" w:rsidP="00E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rebuchet MS" w:hAnsi="Trebuchet MS"/>
          <w:sz w:val="22"/>
          <w:u w:color="000000"/>
        </w:rPr>
      </w:pPr>
      <w:r w:rsidRPr="00EF38D1">
        <w:rPr>
          <w:rFonts w:ascii="Trebuchet MS" w:hAnsi="Trebuchet MS"/>
          <w:b/>
          <w:sz w:val="22"/>
        </w:rPr>
        <w:t xml:space="preserve">Preguntas orientativas para las áreas de enfoque de la X Sesión del </w:t>
      </w:r>
      <w:bookmarkStart w:id="0" w:name="_GoBack"/>
      <w:r w:rsidRPr="00EF38D1">
        <w:rPr>
          <w:rFonts w:ascii="Trebuchet MS" w:hAnsi="Trebuchet MS"/>
          <w:b/>
          <w:sz w:val="22"/>
        </w:rPr>
        <w:t>Grupo de Trabajo de Composición Abierta sobre Envejecimiento</w:t>
      </w:r>
      <w:bookmarkEnd w:id="0"/>
      <w:r w:rsidRPr="00EF38D1">
        <w:rPr>
          <w:rFonts w:ascii="Trebuchet MS" w:hAnsi="Trebuchet MS"/>
          <w:b/>
          <w:sz w:val="22"/>
        </w:rPr>
        <w:t>:</w:t>
      </w:r>
      <w:r w:rsidRPr="00EF38D1">
        <w:rPr>
          <w:rFonts w:ascii="Trebuchet MS" w:eastAsia="Times New Roman" w:hAnsi="Trebuchet MS" w:cs="Courier New"/>
          <w:color w:val="212121"/>
          <w:sz w:val="22"/>
          <w:lang w:val="es-ES"/>
        </w:rPr>
        <w:t xml:space="preserve"> </w:t>
      </w:r>
      <w:r w:rsidRPr="00162C5C">
        <w:rPr>
          <w:rFonts w:ascii="Trebuchet MS" w:hAnsi="Trebuchet MS"/>
          <w:sz w:val="22"/>
          <w:u w:color="000000"/>
        </w:rPr>
        <w:t>Educación, capacitación, aprendizaje permanente y desarrollo de capacidades.</w:t>
      </w:r>
    </w:p>
    <w:p w14:paraId="301DAEB7" w14:textId="77777777" w:rsidR="00E47915" w:rsidRPr="00EF38D1" w:rsidRDefault="00E47915" w:rsidP="00E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rebuchet MS" w:hAnsi="Trebuchet MS"/>
          <w:sz w:val="22"/>
          <w:u w:val="single" w:color="000000"/>
        </w:rPr>
      </w:pPr>
    </w:p>
    <w:p w14:paraId="7DC46A1C" w14:textId="77777777" w:rsidR="00E47915" w:rsidRPr="00162C5C" w:rsidRDefault="00E47915" w:rsidP="00EF38D1">
      <w:pPr>
        <w:pStyle w:val="Ttulo1"/>
        <w:spacing w:line="240" w:lineRule="auto"/>
        <w:ind w:left="-5" w:firstLine="713"/>
        <w:jc w:val="both"/>
        <w:rPr>
          <w:rFonts w:ascii="Trebuchet MS" w:eastAsia="Times New Roman" w:hAnsi="Trebuchet MS" w:cs="Courier New"/>
          <w:color w:val="212121"/>
          <w:sz w:val="22"/>
          <w:u w:val="single"/>
          <w:lang w:val="es-ES"/>
        </w:rPr>
      </w:pPr>
      <w:r w:rsidRPr="00162C5C">
        <w:rPr>
          <w:rFonts w:ascii="Trebuchet MS" w:hAnsi="Trebuchet MS"/>
          <w:sz w:val="22"/>
          <w:u w:val="single"/>
        </w:rPr>
        <w:t>Marco legal nacional</w:t>
      </w:r>
    </w:p>
    <w:p w14:paraId="7327BDE3" w14:textId="77777777" w:rsidR="00E47915" w:rsidRPr="00EF38D1" w:rsidRDefault="00E47915" w:rsidP="00E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rebuchet MS" w:eastAsia="Times New Roman" w:hAnsi="Trebuchet MS" w:cs="Courier New"/>
          <w:color w:val="212121"/>
          <w:sz w:val="22"/>
          <w:lang w:val="es-ES"/>
        </w:rPr>
      </w:pPr>
    </w:p>
    <w:p w14:paraId="56ACA845" w14:textId="77777777" w:rsidR="00E47915" w:rsidRPr="00EF38D1" w:rsidRDefault="00E47915" w:rsidP="00EF38D1">
      <w:pPr>
        <w:spacing w:line="240" w:lineRule="auto"/>
        <w:ind w:left="0" w:firstLine="0"/>
        <w:jc w:val="both"/>
        <w:rPr>
          <w:rFonts w:ascii="Trebuchet MS" w:hAnsi="Trebuchet MS"/>
          <w:b/>
          <w:sz w:val="22"/>
        </w:rPr>
      </w:pPr>
      <w:r w:rsidRPr="00EF38D1">
        <w:rPr>
          <w:rFonts w:ascii="Trebuchet MS" w:hAnsi="Trebuchet MS"/>
          <w:b/>
          <w:sz w:val="22"/>
        </w:rPr>
        <w:t>En su país</w:t>
      </w:r>
      <w:r w:rsidR="00C36613" w:rsidRPr="00EF38D1">
        <w:rPr>
          <w:rFonts w:ascii="Trebuchet MS" w:hAnsi="Trebuchet MS"/>
          <w:b/>
          <w:sz w:val="22"/>
        </w:rPr>
        <w:t>/</w:t>
      </w:r>
      <w:r w:rsidRPr="00EF38D1">
        <w:rPr>
          <w:rFonts w:ascii="Trebuchet MS" w:hAnsi="Trebuchet MS"/>
          <w:b/>
          <w:sz w:val="22"/>
        </w:rPr>
        <w:t xml:space="preserve"> región, ¿cómo se garantiza el derecho a la educación, la capacitación, el aprendizaje a lo largo de toda la vida y el desarrollo de capacidades en la vejez en los marcos legales y de políticas?</w:t>
      </w:r>
    </w:p>
    <w:p w14:paraId="38C0542E" w14:textId="77777777" w:rsidR="00C83A5C" w:rsidRPr="00EF38D1" w:rsidRDefault="00C83A5C" w:rsidP="00162C5C">
      <w:pPr>
        <w:spacing w:line="240" w:lineRule="auto"/>
        <w:ind w:left="0" w:firstLine="0"/>
        <w:jc w:val="both"/>
        <w:rPr>
          <w:rFonts w:ascii="Trebuchet MS" w:hAnsi="Trebuchet MS"/>
          <w:sz w:val="22"/>
        </w:rPr>
      </w:pPr>
    </w:p>
    <w:p w14:paraId="456A3EE1" w14:textId="77777777" w:rsidR="00F24444" w:rsidRPr="00EF38D1" w:rsidRDefault="00F24444" w:rsidP="00EF38D1">
      <w:pPr>
        <w:spacing w:after="160" w:line="240" w:lineRule="auto"/>
        <w:ind w:left="0" w:firstLine="0"/>
        <w:jc w:val="both"/>
        <w:rPr>
          <w:rFonts w:ascii="Trebuchet MS" w:hAnsi="Trebuchet MS"/>
          <w:b/>
          <w:sz w:val="22"/>
        </w:rPr>
      </w:pPr>
      <w:r w:rsidRPr="00EF38D1">
        <w:rPr>
          <w:rFonts w:ascii="Trebuchet MS" w:hAnsi="Trebuchet MS"/>
          <w:b/>
          <w:sz w:val="22"/>
        </w:rPr>
        <w:t>Normatividad y jurisprudencia nacional</w:t>
      </w:r>
      <w:r w:rsidR="00621D04" w:rsidRPr="00EF38D1">
        <w:rPr>
          <w:rStyle w:val="Refdenotaalpie"/>
          <w:rFonts w:ascii="Trebuchet MS" w:hAnsi="Trebuchet MS"/>
          <w:b/>
          <w:sz w:val="22"/>
        </w:rPr>
        <w:footnoteReference w:id="1"/>
      </w:r>
      <w:r w:rsidRPr="00EF38D1">
        <w:rPr>
          <w:rFonts w:ascii="Trebuchet MS" w:hAnsi="Trebuchet MS"/>
          <w:b/>
          <w:sz w:val="22"/>
        </w:rPr>
        <w:t xml:space="preserve"> </w:t>
      </w:r>
    </w:p>
    <w:p w14:paraId="17FB133C" w14:textId="2C49BF15" w:rsidR="00F24444" w:rsidRPr="00EF38D1" w:rsidRDefault="00F24444" w:rsidP="00EF38D1">
      <w:pPr>
        <w:pStyle w:val="Prrafodelista"/>
        <w:numPr>
          <w:ilvl w:val="0"/>
          <w:numId w:val="6"/>
        </w:numPr>
        <w:spacing w:after="160" w:line="240" w:lineRule="auto"/>
        <w:jc w:val="both"/>
        <w:rPr>
          <w:rFonts w:ascii="Trebuchet MS" w:hAnsi="Trebuchet MS"/>
          <w:sz w:val="22"/>
        </w:rPr>
      </w:pPr>
      <w:r w:rsidRPr="00EF38D1">
        <w:rPr>
          <w:rFonts w:ascii="Trebuchet MS" w:hAnsi="Trebuchet MS"/>
          <w:sz w:val="22"/>
        </w:rPr>
        <w:t xml:space="preserve">Constitución Política de Colombia de 1991, artículos 67 y 68 la educación es un derecho de la persona y un servicio público que tiene una función social  establece como obligaciones especiales del Estado la erradicación del analfabetismo y la educación de personas con limitaciones físicas o mentales, o con capacidades excepcionales. </w:t>
      </w:r>
    </w:p>
    <w:p w14:paraId="161DA1F1" w14:textId="77777777" w:rsidR="00F24444" w:rsidRPr="00EF38D1" w:rsidRDefault="00F24444" w:rsidP="00EF38D1">
      <w:pPr>
        <w:pStyle w:val="Prrafodelista"/>
        <w:numPr>
          <w:ilvl w:val="0"/>
          <w:numId w:val="6"/>
        </w:numPr>
        <w:spacing w:after="160" w:line="240" w:lineRule="auto"/>
        <w:jc w:val="both"/>
        <w:rPr>
          <w:rFonts w:ascii="Trebuchet MS" w:hAnsi="Trebuchet MS"/>
          <w:sz w:val="22"/>
        </w:rPr>
      </w:pPr>
      <w:r w:rsidRPr="00EF38D1">
        <w:rPr>
          <w:rFonts w:ascii="Trebuchet MS" w:hAnsi="Trebuchet MS"/>
          <w:sz w:val="22"/>
        </w:rPr>
        <w:t>Ley 21 de 1991 Ratifica el convenio 169 de la Organización Internacional del Trabajo (OIT).</w:t>
      </w:r>
    </w:p>
    <w:p w14:paraId="09DA566C" w14:textId="77777777" w:rsidR="00F24444" w:rsidRPr="00EF38D1" w:rsidRDefault="00F24444" w:rsidP="00EF38D1">
      <w:pPr>
        <w:pStyle w:val="Prrafodelista"/>
        <w:numPr>
          <w:ilvl w:val="0"/>
          <w:numId w:val="6"/>
        </w:numPr>
        <w:spacing w:after="160" w:line="240" w:lineRule="auto"/>
        <w:jc w:val="both"/>
        <w:rPr>
          <w:rFonts w:ascii="Trebuchet MS" w:hAnsi="Trebuchet MS"/>
          <w:sz w:val="22"/>
        </w:rPr>
      </w:pPr>
      <w:r w:rsidRPr="00EF38D1">
        <w:rPr>
          <w:rFonts w:ascii="Trebuchet MS" w:hAnsi="Trebuchet MS"/>
          <w:sz w:val="22"/>
        </w:rPr>
        <w:t xml:space="preserve">Ley General de Educación 115 de 1994 El Título III, Modalidades de atención educativa a poblaciones, define la educación para adultos y establece sus objetivos específicos. Autoriza la validación de conocimientos, experiencias y prácticas sin la exigencia de haber cursado los grados de escolaridad; establece los programas semipresenciales para adultos y anuncia el fomento de programas de educación no formal (hoy educación para el trabajo y el desarrollo humano). Título III, capítulo 3, que se refiere a las modalidades de atención educativa a poblaciones. </w:t>
      </w:r>
    </w:p>
    <w:p w14:paraId="183225BC" w14:textId="77777777" w:rsidR="00F24444" w:rsidRPr="00EF38D1" w:rsidRDefault="00F24444" w:rsidP="00EF38D1">
      <w:pPr>
        <w:pStyle w:val="Prrafodelista"/>
        <w:numPr>
          <w:ilvl w:val="0"/>
          <w:numId w:val="6"/>
        </w:numPr>
        <w:spacing w:after="160" w:line="240" w:lineRule="auto"/>
        <w:jc w:val="both"/>
        <w:rPr>
          <w:rFonts w:ascii="Trebuchet MS" w:hAnsi="Trebuchet MS"/>
          <w:sz w:val="22"/>
        </w:rPr>
      </w:pPr>
      <w:r w:rsidRPr="00EF38D1">
        <w:rPr>
          <w:rFonts w:ascii="Trebuchet MS" w:hAnsi="Trebuchet MS"/>
          <w:sz w:val="22"/>
        </w:rPr>
        <w:t>Ley 715 de 2001 Desarrolla cuatro ejes fundamentales: 1. Profundiza el proceso de descentralización y asigna a los municipios con población mayor a 100.000 habitantes el manejo de la educación. 2. Asigna los recursos a las ETC en función de los alumnos matriculados, no de la oferta. 3. Asigna nuevas funciones a rectores y directores. 4. Determina las responsabilidades de la Nación y las entidades territoriales y posibilita la delegación de funciones entre entidades y hacia las instituciones educativas.</w:t>
      </w:r>
    </w:p>
    <w:p w14:paraId="56DE4F20" w14:textId="77777777" w:rsidR="00F24444" w:rsidRPr="00EF38D1" w:rsidRDefault="00F24444" w:rsidP="00EF38D1">
      <w:pPr>
        <w:pStyle w:val="Prrafodelista"/>
        <w:numPr>
          <w:ilvl w:val="0"/>
          <w:numId w:val="6"/>
        </w:numPr>
        <w:spacing w:after="160" w:line="240" w:lineRule="auto"/>
        <w:jc w:val="both"/>
        <w:rPr>
          <w:rFonts w:ascii="Trebuchet MS" w:hAnsi="Trebuchet MS"/>
          <w:sz w:val="22"/>
        </w:rPr>
      </w:pPr>
      <w:r w:rsidRPr="00EF38D1">
        <w:rPr>
          <w:rFonts w:ascii="Trebuchet MS" w:hAnsi="Trebuchet MS"/>
          <w:sz w:val="22"/>
        </w:rPr>
        <w:t>Ley 1448 de 2011 o ley de víctimas y restitución de tierras Constituye un instrumento para la atención educativa de personas víctimas del conflicto armado, entre ellas, campesinos, líderes sociales, miembros de organizaciones sindicales, defensores de derechos humanos, personas con discapacidad, haciendo imperativa la aplicación del enfoque diferencial, obligando al Estado a resarcir los derechos a la educación y especiales garantías y medidas de protección con mujeres, jóvenes, niños, niñas y personas adultas.</w:t>
      </w:r>
    </w:p>
    <w:p w14:paraId="298E5073" w14:textId="1A078F7B" w:rsidR="00F24444" w:rsidRPr="00EF38D1" w:rsidRDefault="00F24444" w:rsidP="00EF38D1">
      <w:pPr>
        <w:pStyle w:val="Prrafodelista"/>
        <w:numPr>
          <w:ilvl w:val="0"/>
          <w:numId w:val="6"/>
        </w:numPr>
        <w:spacing w:after="160" w:line="240" w:lineRule="auto"/>
        <w:jc w:val="both"/>
        <w:rPr>
          <w:rFonts w:ascii="Trebuchet MS" w:hAnsi="Trebuchet MS"/>
          <w:sz w:val="22"/>
        </w:rPr>
      </w:pPr>
      <w:r w:rsidRPr="00EF38D1">
        <w:rPr>
          <w:rFonts w:ascii="Trebuchet MS" w:hAnsi="Trebuchet MS"/>
          <w:sz w:val="22"/>
        </w:rPr>
        <w:t>Ley 1618 de 2013 Indica que el M</w:t>
      </w:r>
      <w:r w:rsidR="00BF5EE0">
        <w:rPr>
          <w:rFonts w:ascii="Trebuchet MS" w:hAnsi="Trebuchet MS"/>
          <w:sz w:val="22"/>
        </w:rPr>
        <w:t>inisterio de Educación Nacional</w:t>
      </w:r>
      <w:r w:rsidRPr="00EF38D1">
        <w:rPr>
          <w:rFonts w:ascii="Trebuchet MS" w:hAnsi="Trebuchet MS"/>
          <w:sz w:val="22"/>
        </w:rPr>
        <w:t xml:space="preserve"> acompañará y hará seguimiento a las entidades territoriales en la implementación de las estrategias para el acceso y la permanencia educativa con calidad para las personas con discapacidad, tanto en edad escolar como adultos. Agrega que este incluirá dentro del Programa Nacional de Alfabetización, metas claras para la reducción del analfabetismo de jóvenes, adultas y adultos con discapacidad. </w:t>
      </w:r>
    </w:p>
    <w:p w14:paraId="53B10CBD" w14:textId="77777777" w:rsidR="00F24444" w:rsidRPr="00EF38D1" w:rsidRDefault="00F24444" w:rsidP="00EF38D1">
      <w:pPr>
        <w:pStyle w:val="Prrafodelista"/>
        <w:numPr>
          <w:ilvl w:val="0"/>
          <w:numId w:val="6"/>
        </w:numPr>
        <w:spacing w:after="160" w:line="240" w:lineRule="auto"/>
        <w:jc w:val="both"/>
        <w:rPr>
          <w:rFonts w:ascii="Trebuchet MS" w:hAnsi="Trebuchet MS"/>
          <w:sz w:val="22"/>
        </w:rPr>
      </w:pPr>
      <w:r w:rsidRPr="00EF38D1">
        <w:rPr>
          <w:rFonts w:ascii="Trebuchet MS" w:hAnsi="Trebuchet MS"/>
          <w:sz w:val="22"/>
        </w:rPr>
        <w:t>Decreto 1075 de 2015. Decreto Único Reglamentario del Sector Educación Incorpora en su estructura los contenidos del Decreto reglamentario 3011 de 1997, en el capítulo 5, sección 3, Educación para adultos y otros.</w:t>
      </w:r>
    </w:p>
    <w:p w14:paraId="4A429B02" w14:textId="77777777" w:rsidR="00F24444" w:rsidRPr="00EF38D1" w:rsidRDefault="00F24444" w:rsidP="00EF38D1">
      <w:pPr>
        <w:pStyle w:val="Prrafodelista"/>
        <w:numPr>
          <w:ilvl w:val="0"/>
          <w:numId w:val="6"/>
        </w:numPr>
        <w:spacing w:after="160" w:line="240" w:lineRule="auto"/>
        <w:jc w:val="both"/>
        <w:rPr>
          <w:rFonts w:ascii="Trebuchet MS" w:hAnsi="Trebuchet MS"/>
          <w:sz w:val="22"/>
        </w:rPr>
      </w:pPr>
      <w:r w:rsidRPr="00EF38D1">
        <w:rPr>
          <w:rFonts w:ascii="Trebuchet MS" w:hAnsi="Trebuchet MS"/>
          <w:sz w:val="22"/>
        </w:rPr>
        <w:lastRenderedPageBreak/>
        <w:t>Decreto 1421 de 2017 Se reglamenta en el marco de la educación inclusiva la atención educativa a la población con discapacidad. Atención a población adulta con discapacidad. Directiva ministerial 14 de 2004 Establece orientaciones para la administración del Programa Nacional de Alfabetización y educación de adultos con respecto a la institucionalización de este servicio en los establecimientos educativos que lo ofrecen, la consideración de los referentes nacionales de calidad en su propuesta pedagógica, la asignación de docentes y la financiación de la misma, entre otros aspectos.</w:t>
      </w:r>
    </w:p>
    <w:p w14:paraId="7841683A" w14:textId="77777777" w:rsidR="00F24444" w:rsidRPr="00EF38D1" w:rsidRDefault="00F24444" w:rsidP="00EF38D1">
      <w:pPr>
        <w:pStyle w:val="Prrafodelista"/>
        <w:numPr>
          <w:ilvl w:val="0"/>
          <w:numId w:val="6"/>
        </w:numPr>
        <w:spacing w:after="160" w:line="240" w:lineRule="auto"/>
        <w:jc w:val="both"/>
        <w:rPr>
          <w:rFonts w:ascii="Trebuchet MS" w:hAnsi="Trebuchet MS"/>
          <w:sz w:val="22"/>
        </w:rPr>
      </w:pPr>
      <w:r w:rsidRPr="00EF38D1">
        <w:rPr>
          <w:rFonts w:ascii="Trebuchet MS" w:hAnsi="Trebuchet MS"/>
          <w:sz w:val="22"/>
        </w:rPr>
        <w:t xml:space="preserve">Circular del Ministerio de Educación Nacional, No. 007 de 2008 Define los mecanismos para financiar la capacitación, seguimiento, dotación de materiales y la remuneración de docentes con recursos del Sistema General de Participaciones (SGP) cuando se atiende la población de ciclo II en adelante, mediante la contratación de modelos educativos flexibles. También precisa las estrategias para dar continuidad a los estudiantes en los </w:t>
      </w:r>
      <w:r w:rsidR="003C1CE3" w:rsidRPr="00EF38D1">
        <w:rPr>
          <w:rFonts w:ascii="Trebuchet MS" w:hAnsi="Trebuchet MS"/>
          <w:sz w:val="22"/>
        </w:rPr>
        <w:t>Ciclos Lectivos Especiales Integrados -</w:t>
      </w:r>
      <w:r w:rsidRPr="00EF38D1">
        <w:rPr>
          <w:rFonts w:ascii="Trebuchet MS" w:hAnsi="Trebuchet MS"/>
          <w:sz w:val="22"/>
        </w:rPr>
        <w:t>CLEI 1, 2, 3, 4, 5 y 6 definidos en el artículo 21 del Decreto 1075 de 2015.</w:t>
      </w:r>
    </w:p>
    <w:p w14:paraId="0048645F" w14:textId="77777777" w:rsidR="00F24444" w:rsidRPr="00EF38D1" w:rsidRDefault="00F24444" w:rsidP="00EF38D1">
      <w:pPr>
        <w:spacing w:after="160" w:line="240" w:lineRule="auto"/>
        <w:ind w:left="0" w:firstLine="0"/>
        <w:jc w:val="both"/>
        <w:rPr>
          <w:rFonts w:ascii="Trebuchet MS" w:hAnsi="Trebuchet MS"/>
          <w:b/>
          <w:sz w:val="22"/>
        </w:rPr>
      </w:pPr>
      <w:r w:rsidRPr="00EF38D1">
        <w:rPr>
          <w:rFonts w:ascii="Trebuchet MS" w:hAnsi="Trebuchet MS"/>
          <w:b/>
          <w:sz w:val="22"/>
        </w:rPr>
        <w:t xml:space="preserve">Jurisprudencia </w:t>
      </w:r>
    </w:p>
    <w:p w14:paraId="743F482E" w14:textId="3346D49A" w:rsidR="00622607" w:rsidRPr="00EF38D1" w:rsidRDefault="00622607" w:rsidP="00EF38D1">
      <w:pPr>
        <w:pStyle w:val="Prrafodelista"/>
        <w:numPr>
          <w:ilvl w:val="0"/>
          <w:numId w:val="7"/>
        </w:numPr>
        <w:spacing w:after="160" w:line="240" w:lineRule="auto"/>
        <w:jc w:val="both"/>
        <w:rPr>
          <w:rFonts w:ascii="Trebuchet MS" w:hAnsi="Trebuchet MS"/>
          <w:sz w:val="22"/>
        </w:rPr>
      </w:pPr>
      <w:r w:rsidRPr="00087F68">
        <w:rPr>
          <w:rFonts w:ascii="Trebuchet MS" w:hAnsi="Trebuchet MS"/>
          <w:sz w:val="22"/>
          <w:lang w:val="fr-FR"/>
        </w:rPr>
        <w:t xml:space="preserve">Sentencia T-441 de 1997 y T-672 de 1998. </w:t>
      </w:r>
      <w:r w:rsidRPr="00EF38D1">
        <w:rPr>
          <w:rFonts w:ascii="Trebuchet MS" w:hAnsi="Trebuchet MS"/>
          <w:sz w:val="22"/>
        </w:rPr>
        <w:t xml:space="preserve">Aunque el derecho a la educación de los adultos no tiene el carácter de fundamental, en ciertos eventos el derecho de acceso de los adultos puede ser protegido mediante acción de </w:t>
      </w:r>
      <w:r w:rsidR="00DE7CB2" w:rsidRPr="00EF38D1">
        <w:rPr>
          <w:rFonts w:ascii="Trebuchet MS" w:hAnsi="Trebuchet MS"/>
          <w:sz w:val="22"/>
        </w:rPr>
        <w:t>tutela. Básicamente</w:t>
      </w:r>
      <w:r w:rsidRPr="00EF38D1">
        <w:rPr>
          <w:rFonts w:ascii="Trebuchet MS" w:hAnsi="Trebuchet MS"/>
          <w:sz w:val="22"/>
        </w:rPr>
        <w:t>, cuando exista vulneración al derecho a la igualdad, o cuando a pesar de la existencia de otros medios judiciales de defensa ordinarios consagrados en el ordenamiento jurídico vigente, éstos no tengan la eficacia e idoneidad requerida frente a una amenaza o vulneración ocasionada por la acción u omisión de las autoridades públicas o de los particulares.</w:t>
      </w:r>
    </w:p>
    <w:p w14:paraId="3AC10B58" w14:textId="77777777" w:rsidR="00F24444" w:rsidRPr="00EF38D1" w:rsidRDefault="00F24444" w:rsidP="00EF38D1">
      <w:pPr>
        <w:pStyle w:val="Prrafodelista"/>
        <w:numPr>
          <w:ilvl w:val="0"/>
          <w:numId w:val="7"/>
        </w:numPr>
        <w:spacing w:after="160" w:line="240" w:lineRule="auto"/>
        <w:jc w:val="both"/>
        <w:rPr>
          <w:rFonts w:ascii="Trebuchet MS" w:hAnsi="Trebuchet MS"/>
          <w:sz w:val="22"/>
        </w:rPr>
      </w:pPr>
      <w:r w:rsidRPr="00EF38D1">
        <w:rPr>
          <w:rFonts w:ascii="Trebuchet MS" w:hAnsi="Trebuchet MS"/>
          <w:sz w:val="22"/>
        </w:rPr>
        <w:t>Sentencia T-428 de 2012 Reconoce la aplicación de los principios de progresividad y su contrario -prohibición de regresividad- para garantizar la efectividad del derecho a la educación de jóvenes y adultos, y señala que cualquier medida estatal regresiva en la prestación del servicio educativo se presume inconstitucional.</w:t>
      </w:r>
    </w:p>
    <w:p w14:paraId="1ADCEFC9" w14:textId="77777777" w:rsidR="00F24444" w:rsidRPr="00EF38D1" w:rsidRDefault="00F24444" w:rsidP="00EF38D1">
      <w:pPr>
        <w:pStyle w:val="Prrafodelista"/>
        <w:numPr>
          <w:ilvl w:val="0"/>
          <w:numId w:val="7"/>
        </w:numPr>
        <w:spacing w:after="160" w:line="240" w:lineRule="auto"/>
        <w:jc w:val="both"/>
        <w:rPr>
          <w:rFonts w:ascii="Trebuchet MS" w:hAnsi="Trebuchet MS"/>
          <w:sz w:val="22"/>
        </w:rPr>
      </w:pPr>
      <w:r w:rsidRPr="00EF38D1">
        <w:rPr>
          <w:rFonts w:ascii="Trebuchet MS" w:hAnsi="Trebuchet MS"/>
          <w:sz w:val="22"/>
        </w:rPr>
        <w:t xml:space="preserve">Sentencia T- 546 de 2013 Señala que el sistema de educación para jóvenes y adultos debe cumplir con criterios de adaptabilidad y pertinencia en cuanto a las condiciones socio económicas de los beneficiarios, con el fin de hacer efectivo el goce del derecho fundamental. </w:t>
      </w:r>
    </w:p>
    <w:p w14:paraId="28E7AA11" w14:textId="77777777" w:rsidR="00F24444" w:rsidRPr="00EF38D1" w:rsidRDefault="00F24444" w:rsidP="00EF38D1">
      <w:pPr>
        <w:pStyle w:val="Prrafodelista"/>
        <w:numPr>
          <w:ilvl w:val="0"/>
          <w:numId w:val="7"/>
        </w:numPr>
        <w:spacing w:after="160" w:line="240" w:lineRule="auto"/>
        <w:jc w:val="both"/>
        <w:rPr>
          <w:rFonts w:ascii="Trebuchet MS" w:hAnsi="Trebuchet MS"/>
          <w:sz w:val="22"/>
        </w:rPr>
      </w:pPr>
      <w:r w:rsidRPr="00EF38D1">
        <w:rPr>
          <w:rFonts w:ascii="Trebuchet MS" w:hAnsi="Trebuchet MS"/>
          <w:sz w:val="22"/>
        </w:rPr>
        <w:t xml:space="preserve">Sentencia T- 755 de 2015 Dispone que ante circunstancias excepcionalísimas y especiales como maternidad adolescente, se puede permitir a jóvenes menores de edad el acceso al servicio de educación dirigido a personas adultas. </w:t>
      </w:r>
    </w:p>
    <w:p w14:paraId="5A7422EB" w14:textId="77777777" w:rsidR="00F24444" w:rsidRPr="00EF38D1" w:rsidRDefault="00F24444" w:rsidP="00EF38D1">
      <w:pPr>
        <w:pStyle w:val="Prrafodelista"/>
        <w:numPr>
          <w:ilvl w:val="0"/>
          <w:numId w:val="7"/>
        </w:numPr>
        <w:spacing w:after="160" w:line="240" w:lineRule="auto"/>
        <w:jc w:val="both"/>
        <w:rPr>
          <w:rFonts w:ascii="Trebuchet MS" w:hAnsi="Trebuchet MS"/>
          <w:sz w:val="22"/>
        </w:rPr>
      </w:pPr>
      <w:r w:rsidRPr="00EF38D1">
        <w:rPr>
          <w:rFonts w:ascii="Trebuchet MS" w:hAnsi="Trebuchet MS"/>
          <w:sz w:val="22"/>
        </w:rPr>
        <w:t>Sentencia T-592 de 2015 Enseña que la garantía del derecho a la educación no puede restringirse por razones de orden social, económico o cultural, de tal modo que el sistema educativo debe flexibilizar su funcionamiento con el objetivo de garantizar el acceso y la permanencia en el mismo.</w:t>
      </w:r>
    </w:p>
    <w:p w14:paraId="346C7BEC" w14:textId="77777777" w:rsidR="00F24444" w:rsidRDefault="00F24444" w:rsidP="00EF38D1">
      <w:pPr>
        <w:pStyle w:val="Prrafodelista"/>
        <w:numPr>
          <w:ilvl w:val="0"/>
          <w:numId w:val="7"/>
        </w:numPr>
        <w:spacing w:after="160" w:line="240" w:lineRule="auto"/>
        <w:jc w:val="both"/>
        <w:rPr>
          <w:rFonts w:ascii="Trebuchet MS" w:hAnsi="Trebuchet MS"/>
          <w:sz w:val="22"/>
        </w:rPr>
      </w:pPr>
      <w:r w:rsidRPr="00EF38D1">
        <w:rPr>
          <w:rFonts w:ascii="Trebuchet MS" w:hAnsi="Trebuchet MS"/>
          <w:sz w:val="22"/>
        </w:rPr>
        <w:t>Sentencia T-008 de 2016 Reitera el componente de adaptabilidad que debe caracterizar al sistema de educación dirigido a jóvenes y adultos.</w:t>
      </w:r>
      <w:r w:rsidR="00D657A5" w:rsidRPr="00EF38D1">
        <w:rPr>
          <w:rFonts w:ascii="Trebuchet MS" w:hAnsi="Trebuchet MS"/>
          <w:sz w:val="22"/>
        </w:rPr>
        <w:t xml:space="preserve"> Al respecto señala: “(…) la obligación estatal de proveer educación para personas jóvenes y adultas se materializa en la creación de un sistema especial que consulte los intereses de un grupo poblacional específico, con el fin de que la edad o circunstancias particulares no les impidan recibir la educación que no fue impartida durante su infancia y adolescencia. En este orden de ideas, la educación para adultos también consulta el contenido de adaptabilidad y responde a la realidad de los adultos como personas que se encuentran activas en el trabajo y que, en razón a su actividad, requieren de una flexibilidad especial que posibilite el acceso al sistema educativo (...)”.</w:t>
      </w:r>
    </w:p>
    <w:p w14:paraId="40DACB73" w14:textId="77777777" w:rsidR="00162C5C" w:rsidRDefault="00162C5C" w:rsidP="00162C5C">
      <w:pPr>
        <w:spacing w:after="160" w:line="240" w:lineRule="auto"/>
        <w:ind w:left="0" w:firstLine="0"/>
        <w:jc w:val="both"/>
        <w:rPr>
          <w:rFonts w:ascii="Trebuchet MS" w:hAnsi="Trebuchet MS"/>
          <w:sz w:val="22"/>
        </w:rPr>
      </w:pPr>
    </w:p>
    <w:p w14:paraId="24BBD5E4" w14:textId="7F7AF856" w:rsidR="00162C5C" w:rsidRPr="00EF38D1" w:rsidRDefault="00162C5C" w:rsidP="00162C5C">
      <w:pPr>
        <w:spacing w:line="240" w:lineRule="auto"/>
        <w:ind w:left="0" w:firstLine="0"/>
        <w:jc w:val="both"/>
        <w:rPr>
          <w:rFonts w:ascii="Trebuchet MS" w:hAnsi="Trebuchet MS"/>
          <w:sz w:val="22"/>
        </w:rPr>
      </w:pPr>
      <w:r>
        <w:rPr>
          <w:rFonts w:ascii="Trebuchet MS" w:hAnsi="Trebuchet MS"/>
          <w:sz w:val="22"/>
        </w:rPr>
        <w:t xml:space="preserve">Si bien existe un marco normativo aparentemente riguroso e integral, </w:t>
      </w:r>
      <w:r>
        <w:rPr>
          <w:rFonts w:ascii="Trebuchet MS" w:hAnsi="Trebuchet MS"/>
          <w:b/>
          <w:sz w:val="22"/>
        </w:rPr>
        <w:t>s</w:t>
      </w:r>
      <w:r w:rsidRPr="00EF38D1">
        <w:rPr>
          <w:rFonts w:ascii="Trebuchet MS" w:hAnsi="Trebuchet MS"/>
          <w:sz w:val="22"/>
        </w:rPr>
        <w:t>egún la Encuesta Nacional SABE</w:t>
      </w:r>
      <w:r w:rsidRPr="00EF38D1">
        <w:rPr>
          <w:rStyle w:val="Refdenotaalpie"/>
          <w:rFonts w:ascii="Trebuchet MS" w:hAnsi="Trebuchet MS"/>
          <w:sz w:val="22"/>
        </w:rPr>
        <w:footnoteReference w:id="2"/>
      </w:r>
      <w:r w:rsidRPr="00EF38D1">
        <w:rPr>
          <w:rFonts w:ascii="Trebuchet MS" w:hAnsi="Trebuchet MS"/>
          <w:sz w:val="22"/>
        </w:rPr>
        <w:t xml:space="preserve"> (2016)</w:t>
      </w:r>
      <w:r>
        <w:rPr>
          <w:rFonts w:ascii="Trebuchet MS" w:hAnsi="Trebuchet MS"/>
          <w:sz w:val="22"/>
        </w:rPr>
        <w:t>,</w:t>
      </w:r>
      <w:r w:rsidRPr="00EF38D1">
        <w:rPr>
          <w:rFonts w:ascii="Trebuchet MS" w:hAnsi="Trebuchet MS"/>
          <w:sz w:val="22"/>
        </w:rPr>
        <w:t xml:space="preserve"> cerca del 16,5% de las personas mayores de 60 años no había</w:t>
      </w:r>
      <w:r>
        <w:rPr>
          <w:rFonts w:ascii="Trebuchet MS" w:hAnsi="Trebuchet MS"/>
          <w:sz w:val="22"/>
        </w:rPr>
        <w:t>n</w:t>
      </w:r>
      <w:r w:rsidRPr="00EF38D1">
        <w:rPr>
          <w:rFonts w:ascii="Trebuchet MS" w:hAnsi="Trebuchet MS"/>
          <w:sz w:val="22"/>
        </w:rPr>
        <w:t xml:space="preserve"> aprobado ningún nivel educativo, el analfabetismo en las personas mayores se incrementa a medida que la edad aumenta; las personas entre 60 y 64 años presentan una tasa de analfabetismo del 10,4%</w:t>
      </w:r>
      <w:r>
        <w:rPr>
          <w:rFonts w:ascii="Trebuchet MS" w:hAnsi="Trebuchet MS"/>
          <w:sz w:val="22"/>
        </w:rPr>
        <w:t xml:space="preserve"> y</w:t>
      </w:r>
      <w:r w:rsidRPr="00EF38D1">
        <w:rPr>
          <w:rFonts w:ascii="Trebuchet MS" w:hAnsi="Trebuchet MS"/>
          <w:sz w:val="22"/>
        </w:rPr>
        <w:t xml:space="preserve"> los mayores de 85 años, </w:t>
      </w:r>
      <w:r>
        <w:rPr>
          <w:rFonts w:ascii="Trebuchet MS" w:hAnsi="Trebuchet MS"/>
          <w:sz w:val="22"/>
        </w:rPr>
        <w:t>del</w:t>
      </w:r>
      <w:r w:rsidRPr="00EF38D1">
        <w:rPr>
          <w:rFonts w:ascii="Trebuchet MS" w:hAnsi="Trebuchet MS"/>
          <w:sz w:val="22"/>
        </w:rPr>
        <w:t xml:space="preserve"> 30,5%. La encuesta revel</w:t>
      </w:r>
      <w:r>
        <w:rPr>
          <w:rFonts w:ascii="Trebuchet MS" w:hAnsi="Trebuchet MS"/>
          <w:sz w:val="22"/>
        </w:rPr>
        <w:t xml:space="preserve">ó también </w:t>
      </w:r>
      <w:r w:rsidRPr="00EF38D1">
        <w:rPr>
          <w:rFonts w:ascii="Trebuchet MS" w:hAnsi="Trebuchet MS"/>
          <w:sz w:val="22"/>
        </w:rPr>
        <w:t xml:space="preserve">brechas urbano-rurales </w:t>
      </w:r>
      <w:r>
        <w:rPr>
          <w:rFonts w:ascii="Trebuchet MS" w:hAnsi="Trebuchet MS"/>
          <w:sz w:val="22"/>
        </w:rPr>
        <w:t>en</w:t>
      </w:r>
      <w:r w:rsidRPr="00EF38D1">
        <w:rPr>
          <w:rFonts w:ascii="Trebuchet MS" w:hAnsi="Trebuchet MS"/>
          <w:sz w:val="22"/>
        </w:rPr>
        <w:t xml:space="preserve"> las personas mayores: </w:t>
      </w:r>
      <w:r>
        <w:rPr>
          <w:rFonts w:ascii="Trebuchet MS" w:hAnsi="Trebuchet MS"/>
          <w:sz w:val="22"/>
        </w:rPr>
        <w:t xml:space="preserve">así, mientras la tasa de analfabetismo </w:t>
      </w:r>
      <w:r w:rsidRPr="00EF38D1">
        <w:rPr>
          <w:rFonts w:ascii="Trebuchet MS" w:hAnsi="Trebuchet MS"/>
          <w:sz w:val="22"/>
        </w:rPr>
        <w:t>para los mayores de 60 años de zonas urbanas ronda el 10%</w:t>
      </w:r>
      <w:r w:rsidR="00D209CD">
        <w:rPr>
          <w:rFonts w:ascii="Trebuchet MS" w:hAnsi="Trebuchet MS"/>
          <w:sz w:val="22"/>
        </w:rPr>
        <w:t xml:space="preserve"> </w:t>
      </w:r>
      <w:r w:rsidRPr="00EF38D1">
        <w:rPr>
          <w:rFonts w:ascii="Trebuchet MS" w:hAnsi="Trebuchet MS"/>
          <w:sz w:val="22"/>
        </w:rPr>
        <w:t>y para los de zonas rurales</w:t>
      </w:r>
      <w:r>
        <w:rPr>
          <w:rFonts w:ascii="Trebuchet MS" w:hAnsi="Trebuchet MS"/>
          <w:sz w:val="22"/>
        </w:rPr>
        <w:t xml:space="preserve"> del mismo rango etéreo asciende al</w:t>
      </w:r>
      <w:r w:rsidRPr="00EF38D1">
        <w:rPr>
          <w:rFonts w:ascii="Trebuchet MS" w:hAnsi="Trebuchet MS"/>
          <w:sz w:val="22"/>
        </w:rPr>
        <w:t>30%. Esto significa que por cada mayor de 60 años analfabeta en las ciudades, hay tres mayores analfabetas en las zonas rurales.</w:t>
      </w:r>
    </w:p>
    <w:p w14:paraId="550960DF" w14:textId="77777777" w:rsidR="00E47915" w:rsidRPr="00EF38D1" w:rsidRDefault="00E47915" w:rsidP="00E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rebuchet MS" w:eastAsia="Times New Roman" w:hAnsi="Trebuchet MS" w:cs="Courier New"/>
          <w:color w:val="212121"/>
          <w:sz w:val="22"/>
          <w:lang w:val="es-ES"/>
        </w:rPr>
      </w:pPr>
    </w:p>
    <w:p w14:paraId="63D62B11" w14:textId="77777777" w:rsidR="00E47915" w:rsidRPr="00EF38D1" w:rsidRDefault="00E47915" w:rsidP="00EF38D1">
      <w:pPr>
        <w:pStyle w:val="Ttulo1"/>
        <w:spacing w:line="240" w:lineRule="auto"/>
        <w:ind w:left="0" w:firstLine="0"/>
        <w:jc w:val="both"/>
        <w:rPr>
          <w:rFonts w:ascii="Trebuchet MS" w:hAnsi="Trebuchet MS"/>
          <w:sz w:val="22"/>
        </w:rPr>
      </w:pPr>
      <w:r w:rsidRPr="00EF38D1">
        <w:rPr>
          <w:rFonts w:ascii="Trebuchet MS" w:hAnsi="Trebuchet MS"/>
          <w:sz w:val="22"/>
        </w:rPr>
        <w:t>Disponibilidad, accesibilidad y adaptabilidad.</w:t>
      </w:r>
    </w:p>
    <w:p w14:paraId="2A3F2622" w14:textId="77777777" w:rsidR="00E47915" w:rsidRPr="00EF38D1" w:rsidRDefault="00E47915" w:rsidP="00E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rebuchet MS" w:eastAsia="Times New Roman" w:hAnsi="Trebuchet MS" w:cs="Courier New"/>
          <w:color w:val="212121"/>
          <w:sz w:val="22"/>
          <w:lang w:val="es-ES"/>
        </w:rPr>
      </w:pPr>
      <w:r w:rsidRPr="00EF38D1">
        <w:rPr>
          <w:rFonts w:ascii="Trebuchet MS" w:eastAsia="Times New Roman" w:hAnsi="Trebuchet MS" w:cs="Courier New"/>
          <w:color w:val="212121"/>
          <w:sz w:val="22"/>
          <w:lang w:val="es-ES"/>
        </w:rPr>
        <w:t> </w:t>
      </w:r>
    </w:p>
    <w:p w14:paraId="53A6C2F6" w14:textId="77777777" w:rsidR="00E47915" w:rsidRPr="00EF38D1" w:rsidRDefault="00E47915" w:rsidP="00EF38D1">
      <w:pPr>
        <w:pStyle w:val="Prrafodelista"/>
        <w:numPr>
          <w:ilvl w:val="0"/>
          <w:numId w:val="8"/>
        </w:numPr>
        <w:spacing w:line="240" w:lineRule="auto"/>
        <w:ind w:left="426" w:hanging="426"/>
        <w:jc w:val="both"/>
        <w:rPr>
          <w:rFonts w:ascii="Trebuchet MS" w:hAnsi="Trebuchet MS"/>
          <w:sz w:val="22"/>
        </w:rPr>
      </w:pPr>
      <w:r w:rsidRPr="00EF38D1">
        <w:rPr>
          <w:rFonts w:ascii="Trebuchet MS" w:hAnsi="Trebuchet MS"/>
          <w:sz w:val="22"/>
        </w:rPr>
        <w:t>¿Cuáles son los problemas y desafíos clave que enfrentan las personas mayores en su país / región con respecto al disfrute de todos los niveles de calidad de educación, capacitación, aprendizaje a lo largo de la vida y servicios de desarrollo de capacidades?</w:t>
      </w:r>
    </w:p>
    <w:p w14:paraId="3F9244B0" w14:textId="77777777" w:rsidR="00D07041" w:rsidRPr="00EF38D1" w:rsidRDefault="00D07041" w:rsidP="00EF38D1">
      <w:pPr>
        <w:pStyle w:val="Prrafodelista"/>
        <w:spacing w:line="240" w:lineRule="auto"/>
        <w:ind w:left="426" w:firstLine="0"/>
        <w:jc w:val="both"/>
        <w:rPr>
          <w:rFonts w:ascii="Trebuchet MS" w:hAnsi="Trebuchet MS"/>
          <w:sz w:val="22"/>
        </w:rPr>
      </w:pPr>
    </w:p>
    <w:p w14:paraId="6961EE4C" w14:textId="152E1738" w:rsidR="00D05AAC" w:rsidRDefault="00D07041" w:rsidP="00EF38D1">
      <w:pPr>
        <w:spacing w:line="240" w:lineRule="auto"/>
        <w:ind w:left="0" w:firstLine="0"/>
        <w:jc w:val="both"/>
        <w:rPr>
          <w:rFonts w:ascii="Trebuchet MS" w:eastAsia="Times New Roman" w:hAnsi="Trebuchet MS" w:cs="Courier New"/>
          <w:color w:val="212121"/>
          <w:sz w:val="22"/>
          <w:lang w:val="es-ES"/>
        </w:rPr>
      </w:pPr>
      <w:r w:rsidRPr="00EF38D1">
        <w:rPr>
          <w:rFonts w:ascii="Trebuchet MS" w:hAnsi="Trebuchet MS"/>
          <w:b/>
          <w:sz w:val="22"/>
        </w:rPr>
        <w:t>R/</w:t>
      </w:r>
      <w:r w:rsidR="00E47915" w:rsidRPr="00EF38D1">
        <w:rPr>
          <w:rFonts w:ascii="Trebuchet MS" w:eastAsia="Times New Roman" w:hAnsi="Trebuchet MS" w:cs="Courier New"/>
          <w:color w:val="212121"/>
          <w:sz w:val="22"/>
          <w:lang w:val="es-ES"/>
        </w:rPr>
        <w:t> </w:t>
      </w:r>
      <w:r w:rsidRPr="00EF38D1">
        <w:rPr>
          <w:rFonts w:ascii="Trebuchet MS" w:eastAsia="Times New Roman" w:hAnsi="Trebuchet MS" w:cs="Courier New"/>
          <w:color w:val="212121"/>
          <w:sz w:val="22"/>
          <w:lang w:val="es-ES"/>
        </w:rPr>
        <w:t xml:space="preserve">La proyección realizada por la Gran Encuesta Integrada de Hogares </w:t>
      </w:r>
      <w:r w:rsidR="00431B26" w:rsidRPr="00EF38D1">
        <w:rPr>
          <w:rFonts w:ascii="Trebuchet MS" w:eastAsia="Times New Roman" w:hAnsi="Trebuchet MS" w:cs="Courier New"/>
          <w:color w:val="212121"/>
          <w:sz w:val="22"/>
          <w:lang w:val="es-ES"/>
        </w:rPr>
        <w:t xml:space="preserve">2016, </w:t>
      </w:r>
      <w:r w:rsidRPr="00EF38D1">
        <w:rPr>
          <w:rFonts w:ascii="Trebuchet MS" w:eastAsia="Times New Roman" w:hAnsi="Trebuchet MS" w:cs="Courier New"/>
          <w:color w:val="212121"/>
          <w:sz w:val="22"/>
          <w:lang w:val="es-ES"/>
        </w:rPr>
        <w:t>señala que la tasa de analfabetismo nacional es de 5,35% representados en 1.865.000 personas iletradas (23 ciudades de Colombia)</w:t>
      </w:r>
      <w:r w:rsidR="002561D9">
        <w:rPr>
          <w:rStyle w:val="Refdenotaalpie"/>
          <w:rFonts w:ascii="Trebuchet MS" w:eastAsia="Times New Roman" w:hAnsi="Trebuchet MS" w:cs="Courier New"/>
          <w:color w:val="212121"/>
          <w:sz w:val="22"/>
          <w:lang w:val="es-ES"/>
        </w:rPr>
        <w:footnoteReference w:id="3"/>
      </w:r>
      <w:r w:rsidR="00D05AAC">
        <w:rPr>
          <w:rFonts w:ascii="Trebuchet MS" w:eastAsia="Times New Roman" w:hAnsi="Trebuchet MS" w:cs="Courier New"/>
          <w:color w:val="212121"/>
          <w:sz w:val="22"/>
          <w:lang w:val="es-ES"/>
        </w:rPr>
        <w:t>De esta población</w:t>
      </w:r>
      <w:r w:rsidR="00035458">
        <w:rPr>
          <w:rFonts w:ascii="Trebuchet MS" w:eastAsia="Times New Roman" w:hAnsi="Trebuchet MS" w:cs="Courier New"/>
          <w:color w:val="212121"/>
          <w:sz w:val="22"/>
          <w:lang w:val="es-ES"/>
        </w:rPr>
        <w:t>,</w:t>
      </w:r>
      <w:r w:rsidR="00D05AAC">
        <w:rPr>
          <w:rFonts w:ascii="Trebuchet MS" w:eastAsia="Times New Roman" w:hAnsi="Trebuchet MS" w:cs="Courier New"/>
          <w:color w:val="212121"/>
          <w:sz w:val="22"/>
          <w:lang w:val="es-ES"/>
        </w:rPr>
        <w:t xml:space="preserve"> llaman la atención las siguientes brechas geográficas y generacionales</w:t>
      </w:r>
      <w:r w:rsidR="00035458">
        <w:rPr>
          <w:rFonts w:ascii="Trebuchet MS" w:eastAsia="Times New Roman" w:hAnsi="Trebuchet MS" w:cs="Courier New"/>
          <w:color w:val="212121"/>
          <w:sz w:val="22"/>
          <w:lang w:val="es-ES"/>
        </w:rPr>
        <w:t xml:space="preserve"> diferenciadas para las personas mayores</w:t>
      </w:r>
      <w:r w:rsidR="00D05AAC">
        <w:rPr>
          <w:rFonts w:ascii="Trebuchet MS" w:eastAsia="Times New Roman" w:hAnsi="Trebuchet MS" w:cs="Courier New"/>
          <w:color w:val="212121"/>
          <w:sz w:val="22"/>
          <w:lang w:val="es-ES"/>
        </w:rPr>
        <w:t>:</w:t>
      </w:r>
    </w:p>
    <w:p w14:paraId="6CFFDC0F" w14:textId="77777777" w:rsidR="00D05AAC" w:rsidRDefault="00D05AAC" w:rsidP="00EF38D1">
      <w:pPr>
        <w:spacing w:line="240" w:lineRule="auto"/>
        <w:ind w:left="0" w:firstLine="0"/>
        <w:jc w:val="both"/>
        <w:rPr>
          <w:rFonts w:ascii="Trebuchet MS" w:eastAsia="Times New Roman" w:hAnsi="Trebuchet MS" w:cs="Courier New"/>
          <w:color w:val="212121"/>
          <w:sz w:val="22"/>
          <w:lang w:val="es-ES"/>
        </w:rPr>
      </w:pPr>
    </w:p>
    <w:p w14:paraId="2EAA0E5B" w14:textId="7A0CDE68" w:rsidR="00E47915" w:rsidRPr="00EF38D1" w:rsidRDefault="00D05AAC" w:rsidP="00EF38D1">
      <w:pPr>
        <w:spacing w:line="240" w:lineRule="auto"/>
        <w:ind w:left="0" w:firstLine="0"/>
        <w:jc w:val="both"/>
        <w:rPr>
          <w:rFonts w:ascii="Trebuchet MS" w:eastAsia="Times New Roman" w:hAnsi="Trebuchet MS" w:cs="Courier New"/>
          <w:color w:val="212121"/>
          <w:sz w:val="22"/>
          <w:lang w:val="es-ES"/>
        </w:rPr>
      </w:pPr>
      <w:r>
        <w:rPr>
          <w:rFonts w:ascii="Trebuchet MS" w:eastAsia="Times New Roman" w:hAnsi="Trebuchet MS" w:cs="Courier New"/>
          <w:color w:val="212121"/>
          <w:sz w:val="22"/>
          <w:lang w:val="es-ES"/>
        </w:rPr>
        <w:t>Según e</w:t>
      </w:r>
      <w:r w:rsidR="00D07041" w:rsidRPr="00EF38D1">
        <w:rPr>
          <w:rFonts w:ascii="Trebuchet MS" w:eastAsia="Times New Roman" w:hAnsi="Trebuchet MS" w:cs="Courier New"/>
          <w:color w:val="212121"/>
          <w:sz w:val="22"/>
          <w:lang w:val="es-ES"/>
        </w:rPr>
        <w:t>l Censo Nacional Agropecuario</w:t>
      </w:r>
      <w:r>
        <w:rPr>
          <w:rFonts w:ascii="Trebuchet MS" w:eastAsia="Times New Roman" w:hAnsi="Trebuchet MS" w:cs="Courier New"/>
          <w:color w:val="212121"/>
          <w:sz w:val="22"/>
          <w:lang w:val="es-ES"/>
        </w:rPr>
        <w:t>,</w:t>
      </w:r>
      <w:r w:rsidR="00D07041" w:rsidRPr="00EF38D1">
        <w:rPr>
          <w:rFonts w:ascii="Trebuchet MS" w:eastAsia="Times New Roman" w:hAnsi="Trebuchet MS" w:cs="Courier New"/>
          <w:color w:val="212121"/>
          <w:sz w:val="22"/>
          <w:lang w:val="es-ES"/>
        </w:rPr>
        <w:t xml:space="preserve"> realizado por el DANE en 2014, 155 municipios del país</w:t>
      </w:r>
      <w:r w:rsidR="009B3D0F">
        <w:rPr>
          <w:rFonts w:ascii="Trebuchet MS" w:eastAsia="Times New Roman" w:hAnsi="Trebuchet MS" w:cs="Courier New"/>
          <w:color w:val="212121"/>
          <w:sz w:val="22"/>
          <w:lang w:val="es-ES"/>
        </w:rPr>
        <w:t xml:space="preserve"> (</w:t>
      </w:r>
      <w:r w:rsidR="00D07041" w:rsidRPr="00EF38D1">
        <w:rPr>
          <w:rFonts w:ascii="Trebuchet MS" w:eastAsia="Times New Roman" w:hAnsi="Trebuchet MS" w:cs="Courier New"/>
          <w:color w:val="212121"/>
          <w:sz w:val="22"/>
          <w:lang w:val="es-ES"/>
        </w:rPr>
        <w:t>el 13,8% del total</w:t>
      </w:r>
      <w:r w:rsidR="009B3D0F">
        <w:rPr>
          <w:rFonts w:ascii="Trebuchet MS" w:eastAsia="Times New Roman" w:hAnsi="Trebuchet MS" w:cs="Courier New"/>
          <w:color w:val="212121"/>
          <w:sz w:val="22"/>
          <w:lang w:val="es-ES"/>
        </w:rPr>
        <w:t>)</w:t>
      </w:r>
      <w:r w:rsidR="00D07041" w:rsidRPr="00EF38D1">
        <w:rPr>
          <w:rFonts w:ascii="Trebuchet MS" w:eastAsia="Times New Roman" w:hAnsi="Trebuchet MS" w:cs="Courier New"/>
          <w:color w:val="212121"/>
          <w:sz w:val="22"/>
          <w:lang w:val="es-ES"/>
        </w:rPr>
        <w:t xml:space="preserve"> concentra</w:t>
      </w:r>
      <w:r w:rsidR="00E43F55">
        <w:rPr>
          <w:rFonts w:ascii="Trebuchet MS" w:eastAsia="Times New Roman" w:hAnsi="Trebuchet MS" w:cs="Courier New"/>
          <w:color w:val="212121"/>
          <w:sz w:val="22"/>
          <w:lang w:val="es-ES"/>
        </w:rPr>
        <w:t>n</w:t>
      </w:r>
      <w:r w:rsidR="00D07041" w:rsidRPr="00EF38D1">
        <w:rPr>
          <w:rFonts w:ascii="Trebuchet MS" w:eastAsia="Times New Roman" w:hAnsi="Trebuchet MS" w:cs="Courier New"/>
          <w:color w:val="212121"/>
          <w:sz w:val="22"/>
          <w:lang w:val="es-ES"/>
        </w:rPr>
        <w:t xml:space="preserve"> el 50% de la población analfabeta, y algunos departamentos superan los promedios nacionales</w:t>
      </w:r>
      <w:r w:rsidR="00E43F55">
        <w:rPr>
          <w:rFonts w:ascii="Trebuchet MS" w:eastAsia="Times New Roman" w:hAnsi="Trebuchet MS" w:cs="Courier New"/>
          <w:color w:val="212121"/>
          <w:sz w:val="22"/>
          <w:lang w:val="es-ES"/>
        </w:rPr>
        <w:t>. Sin embargo, l</w:t>
      </w:r>
      <w:r w:rsidR="00D07041" w:rsidRPr="00EF38D1">
        <w:rPr>
          <w:rFonts w:ascii="Trebuchet MS" w:eastAsia="Times New Roman" w:hAnsi="Trebuchet MS" w:cs="Courier New"/>
          <w:color w:val="212121"/>
          <w:sz w:val="22"/>
          <w:lang w:val="es-ES"/>
        </w:rPr>
        <w:t>os logros en reducción del analfabetismo han impactado poco a las personas mayores</w:t>
      </w:r>
      <w:r w:rsidR="00CE0ECA">
        <w:rPr>
          <w:rFonts w:ascii="Trebuchet MS" w:eastAsia="Times New Roman" w:hAnsi="Trebuchet MS" w:cs="Courier New"/>
          <w:color w:val="212121"/>
          <w:sz w:val="22"/>
          <w:lang w:val="es-ES"/>
        </w:rPr>
        <w:t xml:space="preserve"> pues </w:t>
      </w:r>
      <w:r w:rsidR="00D07041" w:rsidRPr="00EF38D1">
        <w:rPr>
          <w:rFonts w:ascii="Trebuchet MS" w:eastAsia="Times New Roman" w:hAnsi="Trebuchet MS" w:cs="Courier New"/>
          <w:color w:val="212121"/>
          <w:sz w:val="22"/>
          <w:lang w:val="es-ES"/>
        </w:rPr>
        <w:t>los esfuerzos se han concentrado en los más jóvenes</w:t>
      </w:r>
      <w:r w:rsidR="00E43F55">
        <w:rPr>
          <w:rFonts w:ascii="Trebuchet MS" w:eastAsia="Times New Roman" w:hAnsi="Trebuchet MS" w:cs="Courier New"/>
          <w:color w:val="212121"/>
          <w:sz w:val="22"/>
          <w:lang w:val="es-ES"/>
        </w:rPr>
        <w:t xml:space="preserve">. </w:t>
      </w:r>
      <w:r w:rsidR="00035458">
        <w:rPr>
          <w:rFonts w:ascii="Trebuchet MS" w:eastAsia="Times New Roman" w:hAnsi="Trebuchet MS" w:cs="Courier New"/>
          <w:color w:val="212121"/>
          <w:sz w:val="22"/>
          <w:lang w:val="es-ES"/>
        </w:rPr>
        <w:t>Por su parte</w:t>
      </w:r>
      <w:r>
        <w:rPr>
          <w:rFonts w:ascii="Trebuchet MS" w:eastAsia="Times New Roman" w:hAnsi="Trebuchet MS" w:cs="Courier New"/>
          <w:color w:val="212121"/>
          <w:sz w:val="22"/>
          <w:lang w:val="es-ES"/>
        </w:rPr>
        <w:t>, l</w:t>
      </w:r>
      <w:r w:rsidR="00D07041" w:rsidRPr="00EF38D1">
        <w:rPr>
          <w:rFonts w:ascii="Trebuchet MS" w:eastAsia="Times New Roman" w:hAnsi="Trebuchet MS" w:cs="Courier New"/>
          <w:color w:val="212121"/>
          <w:sz w:val="22"/>
          <w:lang w:val="es-ES"/>
        </w:rPr>
        <w:t>a Encuesta SABE</w:t>
      </w:r>
      <w:r w:rsidR="00087F68">
        <w:rPr>
          <w:rFonts w:ascii="Trebuchet MS" w:eastAsia="Times New Roman" w:hAnsi="Trebuchet MS" w:cs="Courier New"/>
          <w:color w:val="212121"/>
          <w:sz w:val="22"/>
          <w:lang w:val="es-ES"/>
        </w:rPr>
        <w:t>R</w:t>
      </w:r>
      <w:r w:rsidR="00D07041" w:rsidRPr="00EF38D1">
        <w:rPr>
          <w:rFonts w:ascii="Trebuchet MS" w:eastAsia="Times New Roman" w:hAnsi="Trebuchet MS" w:cs="Courier New"/>
          <w:color w:val="212121"/>
          <w:sz w:val="22"/>
          <w:lang w:val="es-ES"/>
        </w:rPr>
        <w:t xml:space="preserve"> (2016) identificó que cerca del 16,5% de las personas mayores de 60 años no había aprobado ningún nivel educativo. </w:t>
      </w:r>
      <w:r w:rsidR="00035458">
        <w:rPr>
          <w:rFonts w:ascii="Trebuchet MS" w:eastAsia="Times New Roman" w:hAnsi="Trebuchet MS" w:cs="Courier New"/>
          <w:color w:val="212121"/>
          <w:sz w:val="22"/>
          <w:lang w:val="es-ES"/>
        </w:rPr>
        <w:t>Adicionalmente, que e</w:t>
      </w:r>
      <w:r w:rsidR="00D07041" w:rsidRPr="00EF38D1">
        <w:rPr>
          <w:rFonts w:ascii="Trebuchet MS" w:eastAsia="Times New Roman" w:hAnsi="Trebuchet MS" w:cs="Courier New"/>
          <w:color w:val="212121"/>
          <w:sz w:val="22"/>
          <w:lang w:val="es-ES"/>
        </w:rPr>
        <w:t>l analfabetismo en las personas mayores aumenta a medida que la edad es mayor</w:t>
      </w:r>
      <w:r w:rsidR="00035458">
        <w:rPr>
          <w:rFonts w:ascii="Trebuchet MS" w:eastAsia="Times New Roman" w:hAnsi="Trebuchet MS" w:cs="Courier New"/>
          <w:color w:val="212121"/>
          <w:sz w:val="22"/>
          <w:lang w:val="es-ES"/>
        </w:rPr>
        <w:t xml:space="preserve"> pues</w:t>
      </w:r>
      <w:r w:rsidR="00D07041" w:rsidRPr="00EF38D1">
        <w:rPr>
          <w:rFonts w:ascii="Trebuchet MS" w:eastAsia="Times New Roman" w:hAnsi="Trebuchet MS" w:cs="Courier New"/>
          <w:color w:val="212121"/>
          <w:sz w:val="22"/>
          <w:lang w:val="es-ES"/>
        </w:rPr>
        <w:t xml:space="preserve"> las personas que tienen entre 60 y 64 años presentan una tasa de analfabetismo del 10,4%, </w:t>
      </w:r>
      <w:r w:rsidR="00035458">
        <w:rPr>
          <w:rFonts w:ascii="Trebuchet MS" w:eastAsia="Times New Roman" w:hAnsi="Trebuchet MS" w:cs="Courier New"/>
          <w:color w:val="212121"/>
          <w:sz w:val="22"/>
          <w:lang w:val="es-ES"/>
        </w:rPr>
        <w:t>mientras que</w:t>
      </w:r>
      <w:r w:rsidR="00035458" w:rsidRPr="00EF38D1">
        <w:rPr>
          <w:rFonts w:ascii="Trebuchet MS" w:eastAsia="Times New Roman" w:hAnsi="Trebuchet MS" w:cs="Courier New"/>
          <w:color w:val="212121"/>
          <w:sz w:val="22"/>
          <w:lang w:val="es-ES"/>
        </w:rPr>
        <w:t xml:space="preserve"> </w:t>
      </w:r>
      <w:r w:rsidR="00D07041" w:rsidRPr="00EF38D1">
        <w:rPr>
          <w:rFonts w:ascii="Trebuchet MS" w:eastAsia="Times New Roman" w:hAnsi="Trebuchet MS" w:cs="Courier New"/>
          <w:color w:val="212121"/>
          <w:sz w:val="22"/>
          <w:lang w:val="es-ES"/>
        </w:rPr>
        <w:t>los mayores de 85 años</w:t>
      </w:r>
      <w:r w:rsidR="00035458">
        <w:rPr>
          <w:rFonts w:ascii="Trebuchet MS" w:eastAsia="Times New Roman" w:hAnsi="Trebuchet MS" w:cs="Courier New"/>
          <w:color w:val="212121"/>
          <w:sz w:val="22"/>
          <w:lang w:val="es-ES"/>
        </w:rPr>
        <w:t xml:space="preserve"> del </w:t>
      </w:r>
      <w:r w:rsidR="00D07041" w:rsidRPr="00EF38D1">
        <w:rPr>
          <w:rFonts w:ascii="Trebuchet MS" w:eastAsia="Times New Roman" w:hAnsi="Trebuchet MS" w:cs="Courier New"/>
          <w:color w:val="212121"/>
          <w:sz w:val="22"/>
          <w:lang w:val="es-ES"/>
        </w:rPr>
        <w:t xml:space="preserve">30,5%. </w:t>
      </w:r>
      <w:r w:rsidR="00035458">
        <w:rPr>
          <w:rFonts w:ascii="Trebuchet MS" w:eastAsia="Times New Roman" w:hAnsi="Trebuchet MS" w:cs="Courier New"/>
          <w:color w:val="212121"/>
          <w:sz w:val="22"/>
          <w:lang w:val="es-ES"/>
        </w:rPr>
        <w:t xml:space="preserve">Finalmente, dentro de las </w:t>
      </w:r>
      <w:r w:rsidR="00D07041" w:rsidRPr="00EF38D1">
        <w:rPr>
          <w:rFonts w:ascii="Trebuchet MS" w:eastAsia="Times New Roman" w:hAnsi="Trebuchet MS" w:cs="Courier New"/>
          <w:color w:val="212121"/>
          <w:sz w:val="22"/>
          <w:lang w:val="es-ES"/>
        </w:rPr>
        <w:t>brechas regionales en la alfabetización de las personas mayores</w:t>
      </w:r>
      <w:r w:rsidR="00035458">
        <w:rPr>
          <w:rFonts w:ascii="Trebuchet MS" w:eastAsia="Times New Roman" w:hAnsi="Trebuchet MS" w:cs="Courier New"/>
          <w:color w:val="212121"/>
          <w:sz w:val="22"/>
          <w:lang w:val="es-ES"/>
        </w:rPr>
        <w:t xml:space="preserve"> la encuesta identificó que </w:t>
      </w:r>
      <w:r w:rsidR="00D07041" w:rsidRPr="00EF38D1">
        <w:rPr>
          <w:rFonts w:ascii="Trebuchet MS" w:eastAsia="Times New Roman" w:hAnsi="Trebuchet MS" w:cs="Courier New"/>
          <w:color w:val="212121"/>
          <w:sz w:val="22"/>
          <w:lang w:val="es-ES"/>
        </w:rPr>
        <w:t xml:space="preserve"> </w:t>
      </w:r>
      <w:r w:rsidR="00035458">
        <w:rPr>
          <w:rFonts w:ascii="Trebuchet MS" w:eastAsia="Times New Roman" w:hAnsi="Trebuchet MS" w:cs="Courier New"/>
          <w:color w:val="212121"/>
          <w:sz w:val="22"/>
          <w:lang w:val="es-ES"/>
        </w:rPr>
        <w:t>en</w:t>
      </w:r>
      <w:r w:rsidR="00035458" w:rsidRPr="00EF38D1">
        <w:rPr>
          <w:rFonts w:ascii="Trebuchet MS" w:eastAsia="Times New Roman" w:hAnsi="Trebuchet MS" w:cs="Courier New"/>
          <w:color w:val="212121"/>
          <w:sz w:val="22"/>
          <w:lang w:val="es-ES"/>
        </w:rPr>
        <w:t xml:space="preserve"> </w:t>
      </w:r>
      <w:r w:rsidR="00D07041" w:rsidRPr="00EF38D1">
        <w:rPr>
          <w:rFonts w:ascii="Trebuchet MS" w:eastAsia="Times New Roman" w:hAnsi="Trebuchet MS" w:cs="Courier New"/>
          <w:color w:val="212121"/>
          <w:sz w:val="22"/>
          <w:lang w:val="es-ES"/>
        </w:rPr>
        <w:t xml:space="preserve">la región atlántica las tasas de analfabetismo superaban el 25%, </w:t>
      </w:r>
      <w:r w:rsidR="00035458">
        <w:rPr>
          <w:rFonts w:ascii="Trebuchet MS" w:eastAsia="Times New Roman" w:hAnsi="Trebuchet MS" w:cs="Courier New"/>
          <w:color w:val="212121"/>
          <w:sz w:val="22"/>
          <w:lang w:val="es-ES"/>
        </w:rPr>
        <w:t xml:space="preserve">las demás regiones oscilaban </w:t>
      </w:r>
      <w:r w:rsidR="00D07041" w:rsidRPr="00EF38D1">
        <w:rPr>
          <w:rFonts w:ascii="Trebuchet MS" w:eastAsia="Times New Roman" w:hAnsi="Trebuchet MS" w:cs="Courier New"/>
          <w:color w:val="212121"/>
          <w:sz w:val="22"/>
          <w:lang w:val="es-ES"/>
        </w:rPr>
        <w:t xml:space="preserve">entre </w:t>
      </w:r>
      <w:r w:rsidR="00035458">
        <w:rPr>
          <w:rFonts w:ascii="Trebuchet MS" w:eastAsia="Times New Roman" w:hAnsi="Trebuchet MS" w:cs="Courier New"/>
          <w:color w:val="212121"/>
          <w:sz w:val="22"/>
          <w:lang w:val="es-ES"/>
        </w:rPr>
        <w:t xml:space="preserve">el </w:t>
      </w:r>
      <w:r w:rsidR="00D07041" w:rsidRPr="00EF38D1">
        <w:rPr>
          <w:rFonts w:ascii="Trebuchet MS" w:eastAsia="Times New Roman" w:hAnsi="Trebuchet MS" w:cs="Courier New"/>
          <w:color w:val="212121"/>
          <w:sz w:val="22"/>
          <w:lang w:val="es-ES"/>
        </w:rPr>
        <w:t>16% y 18%</w:t>
      </w:r>
      <w:r w:rsidR="00035458">
        <w:rPr>
          <w:rFonts w:ascii="Trebuchet MS" w:eastAsia="Times New Roman" w:hAnsi="Trebuchet MS" w:cs="Courier New"/>
          <w:color w:val="212121"/>
          <w:sz w:val="22"/>
          <w:lang w:val="es-ES"/>
        </w:rPr>
        <w:t xml:space="preserve"> y Bogotá tenía un porcentaje del </w:t>
      </w:r>
      <w:r w:rsidR="00D07041" w:rsidRPr="00EF38D1">
        <w:rPr>
          <w:rFonts w:ascii="Trebuchet MS" w:eastAsia="Times New Roman" w:hAnsi="Trebuchet MS" w:cs="Courier New"/>
          <w:color w:val="212121"/>
          <w:sz w:val="22"/>
          <w:lang w:val="es-ES"/>
        </w:rPr>
        <w:t xml:space="preserve"> 8,2%</w:t>
      </w:r>
      <w:r w:rsidR="00D07041" w:rsidRPr="00EF38D1">
        <w:rPr>
          <w:rStyle w:val="Refdenotaalpie"/>
          <w:rFonts w:ascii="Trebuchet MS" w:eastAsia="Times New Roman" w:hAnsi="Trebuchet MS" w:cs="Courier New"/>
          <w:color w:val="212121"/>
          <w:sz w:val="22"/>
          <w:lang w:val="es-ES"/>
        </w:rPr>
        <w:footnoteReference w:id="4"/>
      </w:r>
      <w:r w:rsidR="006463A4" w:rsidRPr="00EF38D1">
        <w:rPr>
          <w:rFonts w:ascii="Trebuchet MS" w:eastAsia="Times New Roman" w:hAnsi="Trebuchet MS" w:cs="Courier New"/>
          <w:color w:val="212121"/>
          <w:sz w:val="22"/>
          <w:lang w:val="es-ES"/>
        </w:rPr>
        <w:t>.</w:t>
      </w:r>
    </w:p>
    <w:p w14:paraId="4CF589E8" w14:textId="77777777" w:rsidR="00D07041" w:rsidRPr="00EF38D1" w:rsidRDefault="00D07041" w:rsidP="00EF38D1">
      <w:pPr>
        <w:spacing w:line="240" w:lineRule="auto"/>
        <w:ind w:left="0" w:firstLine="0"/>
        <w:jc w:val="both"/>
        <w:rPr>
          <w:rFonts w:ascii="Trebuchet MS" w:eastAsia="Times New Roman" w:hAnsi="Trebuchet MS" w:cs="Courier New"/>
          <w:color w:val="212121"/>
          <w:sz w:val="22"/>
          <w:lang w:val="es-ES"/>
        </w:rPr>
      </w:pPr>
    </w:p>
    <w:p w14:paraId="02B862C0" w14:textId="77777777" w:rsidR="00E47915" w:rsidRPr="00EF38D1" w:rsidRDefault="00E47915" w:rsidP="00EF38D1">
      <w:pPr>
        <w:numPr>
          <w:ilvl w:val="0"/>
          <w:numId w:val="1"/>
        </w:numPr>
        <w:spacing w:line="240" w:lineRule="auto"/>
        <w:ind w:left="426" w:hanging="426"/>
        <w:jc w:val="both"/>
        <w:rPr>
          <w:rFonts w:ascii="Trebuchet MS" w:hAnsi="Trebuchet MS"/>
          <w:sz w:val="22"/>
        </w:rPr>
      </w:pPr>
      <w:r w:rsidRPr="00EF38D1">
        <w:rPr>
          <w:rFonts w:ascii="Trebuchet MS" w:hAnsi="Trebuchet MS"/>
          <w:sz w:val="22"/>
        </w:rPr>
        <w:t>¿Qué pasos se han tomado para garantizar que los servicios de educación, capacitación, aprendizaje a lo largo de toda la vida y desarrollo de capacidades estén disponibles y accesibles para todas las personas mayores, adaptados a sus necesidades, adecuados a sus preferencias y motivaciones, y de alta calidad?</w:t>
      </w:r>
    </w:p>
    <w:p w14:paraId="76B10E94" w14:textId="77777777" w:rsidR="00BD6230" w:rsidRPr="00EF38D1" w:rsidRDefault="00BD6230" w:rsidP="00EF38D1">
      <w:pPr>
        <w:spacing w:line="240" w:lineRule="auto"/>
        <w:ind w:left="426" w:firstLine="0"/>
        <w:jc w:val="both"/>
        <w:rPr>
          <w:rFonts w:ascii="Trebuchet MS" w:hAnsi="Trebuchet MS"/>
          <w:sz w:val="22"/>
        </w:rPr>
      </w:pPr>
    </w:p>
    <w:p w14:paraId="018931C4" w14:textId="2A4851FC" w:rsidR="00BD6230" w:rsidRPr="00EF38D1" w:rsidRDefault="00BD6230" w:rsidP="00EF38D1">
      <w:pPr>
        <w:spacing w:line="240" w:lineRule="auto"/>
        <w:ind w:left="0" w:firstLine="0"/>
        <w:jc w:val="both"/>
        <w:rPr>
          <w:rFonts w:ascii="Trebuchet MS" w:eastAsia="Times New Roman" w:hAnsi="Trebuchet MS" w:cs="Courier New"/>
          <w:color w:val="212121"/>
          <w:sz w:val="22"/>
          <w:lang w:val="es-ES"/>
        </w:rPr>
      </w:pPr>
      <w:r w:rsidRPr="00EF38D1">
        <w:rPr>
          <w:rFonts w:ascii="Trebuchet MS" w:hAnsi="Trebuchet MS"/>
          <w:b/>
          <w:sz w:val="22"/>
        </w:rPr>
        <w:lastRenderedPageBreak/>
        <w:t>R/</w:t>
      </w:r>
      <w:r w:rsidR="00087F68">
        <w:rPr>
          <w:rFonts w:ascii="Trebuchet MS" w:hAnsi="Trebuchet MS"/>
          <w:sz w:val="22"/>
        </w:rPr>
        <w:t xml:space="preserve"> C</w:t>
      </w:r>
      <w:r w:rsidRPr="00EF38D1">
        <w:rPr>
          <w:rFonts w:ascii="Trebuchet MS" w:hAnsi="Trebuchet MS"/>
          <w:sz w:val="22"/>
        </w:rPr>
        <w:t xml:space="preserve">on base en los </w:t>
      </w:r>
      <w:r w:rsidR="00E405CF">
        <w:rPr>
          <w:rFonts w:ascii="Trebuchet MS" w:hAnsi="Trebuchet MS"/>
          <w:sz w:val="22"/>
        </w:rPr>
        <w:t>postulados</w:t>
      </w:r>
      <w:r w:rsidR="00E405CF" w:rsidRPr="00EF38D1">
        <w:rPr>
          <w:rFonts w:ascii="Trebuchet MS" w:hAnsi="Trebuchet MS"/>
          <w:sz w:val="22"/>
        </w:rPr>
        <w:t xml:space="preserve"> </w:t>
      </w:r>
      <w:r w:rsidRPr="00EF38D1">
        <w:rPr>
          <w:rFonts w:ascii="Trebuchet MS" w:hAnsi="Trebuchet MS"/>
          <w:sz w:val="22"/>
        </w:rPr>
        <w:t>normativos de la Constitución Política de 1991, la Ley 115 de 1994, la Ley 715 de 2001, el Decreto Único Reglamentario del Sector Educación 1075 de 2015 y la jurisprudencia emitida con referencia al tema, entre ellas, la Sentencia T-008/2016 de la Corte Constitucional, el Ministerio de Educación Nacional construyó los “Lineamientos generales de política para la atención educativa a la población de jóvenes, adultos y personas mayores” ,</w:t>
      </w:r>
      <w:r w:rsidR="0024603A" w:rsidRPr="00EF38D1">
        <w:rPr>
          <w:rFonts w:ascii="Trebuchet MS" w:eastAsia="Times New Roman" w:hAnsi="Trebuchet MS" w:cs="Courier New"/>
          <w:color w:val="212121"/>
          <w:sz w:val="22"/>
          <w:lang w:val="es-ES"/>
        </w:rPr>
        <w:t xml:space="preserve"> donde se fijan acciones concretas para el Ministerio, las Entidades Territoriales Certificadas y los Establecimientos educativos; esto con el fin de que </w:t>
      </w:r>
      <w:r w:rsidRPr="00EF38D1">
        <w:rPr>
          <w:rFonts w:ascii="Trebuchet MS" w:hAnsi="Trebuchet MS"/>
          <w:sz w:val="22"/>
        </w:rPr>
        <w:t xml:space="preserve">se </w:t>
      </w:r>
      <w:r w:rsidR="00E47915" w:rsidRPr="00EF38D1">
        <w:rPr>
          <w:rFonts w:ascii="Trebuchet MS" w:eastAsia="Times New Roman" w:hAnsi="Trebuchet MS" w:cs="Courier New"/>
          <w:color w:val="212121"/>
          <w:sz w:val="22"/>
          <w:lang w:val="es-ES"/>
        </w:rPr>
        <w:t> </w:t>
      </w:r>
      <w:r w:rsidR="0024603A" w:rsidRPr="00EF38D1">
        <w:rPr>
          <w:rFonts w:ascii="Trebuchet MS" w:eastAsia="Times New Roman" w:hAnsi="Trebuchet MS" w:cs="Courier New"/>
          <w:color w:val="212121"/>
          <w:sz w:val="22"/>
          <w:lang w:val="es-ES"/>
        </w:rPr>
        <w:t xml:space="preserve">elaboren </w:t>
      </w:r>
      <w:r w:rsidRPr="00EF38D1">
        <w:rPr>
          <w:rFonts w:ascii="Trebuchet MS" w:eastAsia="Times New Roman" w:hAnsi="Trebuchet MS" w:cs="Courier New"/>
          <w:color w:val="212121"/>
          <w:sz w:val="22"/>
          <w:lang w:val="es-ES"/>
        </w:rPr>
        <w:t>planes, programas, acciones y estrategias puntuales para garantizar la prestación del servicio con calidad y pertinencia a este grupo poblaci</w:t>
      </w:r>
      <w:r w:rsidR="0024603A" w:rsidRPr="00EF38D1">
        <w:rPr>
          <w:rFonts w:ascii="Trebuchet MS" w:eastAsia="Times New Roman" w:hAnsi="Trebuchet MS" w:cs="Courier New"/>
          <w:color w:val="212121"/>
          <w:sz w:val="22"/>
          <w:lang w:val="es-ES"/>
        </w:rPr>
        <w:t>onal</w:t>
      </w:r>
      <w:r w:rsidR="003D4B38" w:rsidRPr="00EF38D1">
        <w:rPr>
          <w:rStyle w:val="Refdenotaalpie"/>
          <w:rFonts w:ascii="Trebuchet MS" w:eastAsia="Times New Roman" w:hAnsi="Trebuchet MS" w:cs="Courier New"/>
          <w:color w:val="212121"/>
          <w:sz w:val="22"/>
          <w:lang w:val="es-ES"/>
        </w:rPr>
        <w:footnoteReference w:id="5"/>
      </w:r>
      <w:r w:rsidR="0024603A" w:rsidRPr="00EF38D1">
        <w:rPr>
          <w:rFonts w:ascii="Trebuchet MS" w:eastAsia="Times New Roman" w:hAnsi="Trebuchet MS" w:cs="Courier New"/>
          <w:color w:val="212121"/>
          <w:sz w:val="22"/>
          <w:lang w:val="es-ES"/>
        </w:rPr>
        <w:t>.</w:t>
      </w:r>
    </w:p>
    <w:p w14:paraId="0746E946" w14:textId="77777777" w:rsidR="00BD6230" w:rsidRPr="00EF38D1" w:rsidRDefault="00BD6230" w:rsidP="00EF38D1">
      <w:pPr>
        <w:spacing w:line="240" w:lineRule="auto"/>
        <w:ind w:left="0" w:firstLine="0"/>
        <w:jc w:val="both"/>
        <w:rPr>
          <w:rFonts w:ascii="Trebuchet MS" w:eastAsia="Times New Roman" w:hAnsi="Trebuchet MS" w:cs="Courier New"/>
          <w:color w:val="212121"/>
          <w:sz w:val="22"/>
          <w:lang w:val="es-ES"/>
        </w:rPr>
      </w:pPr>
    </w:p>
    <w:p w14:paraId="466FD755" w14:textId="77777777" w:rsidR="008C0A3E" w:rsidRPr="00EF38D1" w:rsidRDefault="00E47915" w:rsidP="00EF38D1">
      <w:pPr>
        <w:numPr>
          <w:ilvl w:val="0"/>
          <w:numId w:val="1"/>
        </w:numPr>
        <w:spacing w:line="240" w:lineRule="auto"/>
        <w:ind w:left="426" w:hanging="426"/>
        <w:jc w:val="both"/>
        <w:rPr>
          <w:rFonts w:ascii="Trebuchet MS" w:hAnsi="Trebuchet MS"/>
          <w:sz w:val="22"/>
        </w:rPr>
      </w:pPr>
      <w:r w:rsidRPr="00EF38D1">
        <w:rPr>
          <w:rFonts w:ascii="Trebuchet MS" w:hAnsi="Trebuchet MS"/>
          <w:sz w:val="22"/>
        </w:rPr>
        <w:t>En su país / región, ¿hay estudios y / o datos disponibles sobre el acceso de las personas mayores al derecho a la educación, la capacitación, el aprendizaje a lo largo de toda la vida y el desarrollo de capacidades en la edad avanzada?</w:t>
      </w:r>
      <w:r w:rsidR="008C0A3E" w:rsidRPr="00EF38D1">
        <w:rPr>
          <w:rFonts w:ascii="Trebuchet MS" w:hAnsi="Trebuchet MS"/>
          <w:sz w:val="22"/>
        </w:rPr>
        <w:t xml:space="preserve"> </w:t>
      </w:r>
    </w:p>
    <w:p w14:paraId="4BA49FFF" w14:textId="77777777" w:rsidR="008C0A3E" w:rsidRPr="00EF38D1" w:rsidRDefault="008C0A3E" w:rsidP="00EF38D1">
      <w:pPr>
        <w:pStyle w:val="Prrafodelista"/>
        <w:spacing w:line="240" w:lineRule="auto"/>
        <w:rPr>
          <w:rFonts w:ascii="Trebuchet MS" w:hAnsi="Trebuchet MS"/>
          <w:sz w:val="22"/>
        </w:rPr>
      </w:pPr>
    </w:p>
    <w:p w14:paraId="059AE024" w14:textId="1F18916C" w:rsidR="00E47915" w:rsidRPr="00EF38D1" w:rsidRDefault="008C0A3E" w:rsidP="00EF38D1">
      <w:pPr>
        <w:pStyle w:val="Textonotapie"/>
        <w:ind w:left="0" w:firstLine="56"/>
        <w:jc w:val="both"/>
        <w:rPr>
          <w:rFonts w:ascii="Trebuchet MS" w:hAnsi="Trebuchet MS"/>
          <w:sz w:val="22"/>
          <w:szCs w:val="22"/>
        </w:rPr>
      </w:pPr>
      <w:r w:rsidRPr="00EF38D1">
        <w:rPr>
          <w:rFonts w:ascii="Trebuchet MS" w:hAnsi="Trebuchet MS"/>
          <w:b/>
          <w:sz w:val="22"/>
          <w:szCs w:val="22"/>
        </w:rPr>
        <w:t>R</w:t>
      </w:r>
      <w:r w:rsidRPr="00EF38D1">
        <w:rPr>
          <w:rFonts w:ascii="Trebuchet MS" w:hAnsi="Trebuchet MS"/>
          <w:sz w:val="22"/>
          <w:szCs w:val="22"/>
        </w:rPr>
        <w:t>/ El Ministerio de Educación Nacional de Colombia y La Asociación Colombiana de Universidades (</w:t>
      </w:r>
      <w:proofErr w:type="spellStart"/>
      <w:r w:rsidRPr="00EF38D1">
        <w:rPr>
          <w:rFonts w:ascii="Trebuchet MS" w:hAnsi="Trebuchet MS"/>
          <w:sz w:val="22"/>
          <w:szCs w:val="22"/>
        </w:rPr>
        <w:t>Ascun</w:t>
      </w:r>
      <w:proofErr w:type="spellEnd"/>
      <w:r w:rsidRPr="00EF38D1">
        <w:rPr>
          <w:rFonts w:ascii="Trebuchet MS" w:hAnsi="Trebuchet MS"/>
          <w:sz w:val="22"/>
          <w:szCs w:val="22"/>
        </w:rPr>
        <w:t xml:space="preserve">), elaboró </w:t>
      </w:r>
      <w:r w:rsidR="00345418" w:rsidRPr="00EF38D1">
        <w:rPr>
          <w:rFonts w:ascii="Trebuchet MS" w:hAnsi="Trebuchet MS"/>
          <w:sz w:val="22"/>
          <w:szCs w:val="22"/>
        </w:rPr>
        <w:t xml:space="preserve">el </w:t>
      </w:r>
      <w:r w:rsidRPr="00EF38D1">
        <w:rPr>
          <w:rFonts w:ascii="Trebuchet MS" w:hAnsi="Trebuchet MS"/>
          <w:sz w:val="22"/>
          <w:szCs w:val="22"/>
        </w:rPr>
        <w:t>documento “Lineamientos</w:t>
      </w:r>
      <w:r w:rsidRPr="00EF38D1">
        <w:rPr>
          <w:rFonts w:ascii="Trebuchet MS" w:hAnsi="Trebuchet MS"/>
          <w:i/>
          <w:sz w:val="22"/>
          <w:szCs w:val="22"/>
        </w:rPr>
        <w:t xml:space="preserve"> Generales y Orientaciones  para la Educación Formal de Personas Jóvenes y Adultas en Colombia”. </w:t>
      </w:r>
      <w:r w:rsidRPr="00EF38D1">
        <w:rPr>
          <w:rFonts w:ascii="Trebuchet MS" w:hAnsi="Trebuchet MS"/>
          <w:sz w:val="22"/>
          <w:szCs w:val="22"/>
        </w:rPr>
        <w:t>El cual</w:t>
      </w:r>
      <w:r w:rsidR="00345418" w:rsidRPr="00EF38D1">
        <w:rPr>
          <w:rFonts w:ascii="Trebuchet MS" w:hAnsi="Trebuchet MS"/>
          <w:sz w:val="22"/>
          <w:szCs w:val="22"/>
        </w:rPr>
        <w:t xml:space="preserve"> contiene las </w:t>
      </w:r>
      <w:r w:rsidRPr="00EF38D1">
        <w:rPr>
          <w:rFonts w:ascii="Trebuchet MS" w:hAnsi="Trebuchet MS"/>
          <w:sz w:val="22"/>
          <w:szCs w:val="22"/>
        </w:rPr>
        <w:t xml:space="preserve">experiencias de orden nacional y de América Latina; </w:t>
      </w:r>
      <w:r w:rsidR="00345418" w:rsidRPr="00EF38D1">
        <w:rPr>
          <w:rFonts w:ascii="Trebuchet MS" w:hAnsi="Trebuchet MS"/>
          <w:sz w:val="22"/>
          <w:szCs w:val="22"/>
        </w:rPr>
        <w:t>la normativa</w:t>
      </w:r>
      <w:r w:rsidRPr="00EF38D1">
        <w:rPr>
          <w:rFonts w:ascii="Trebuchet MS" w:hAnsi="Trebuchet MS"/>
          <w:sz w:val="22"/>
          <w:szCs w:val="22"/>
        </w:rPr>
        <w:t xml:space="preserve"> vigente y jurisprudencia relacionada; </w:t>
      </w:r>
      <w:r w:rsidR="00345418" w:rsidRPr="00EF38D1">
        <w:rPr>
          <w:rFonts w:ascii="Trebuchet MS" w:hAnsi="Trebuchet MS"/>
          <w:sz w:val="22"/>
          <w:szCs w:val="22"/>
        </w:rPr>
        <w:t xml:space="preserve">las </w:t>
      </w:r>
      <w:r w:rsidRPr="00EF38D1">
        <w:rPr>
          <w:rFonts w:ascii="Trebuchet MS" w:hAnsi="Trebuchet MS"/>
          <w:sz w:val="22"/>
          <w:szCs w:val="22"/>
        </w:rPr>
        <w:t>políticas y planes de Colombia (planes de desarrollo, planes sectoriales, entre otros), y un diagnóstico que d</w:t>
      </w:r>
      <w:r w:rsidR="00A97A11" w:rsidRPr="00EF38D1">
        <w:rPr>
          <w:rFonts w:ascii="Trebuchet MS" w:hAnsi="Trebuchet MS"/>
          <w:sz w:val="22"/>
          <w:szCs w:val="22"/>
        </w:rPr>
        <w:t>a</w:t>
      </w:r>
      <w:r w:rsidRPr="00EF38D1">
        <w:rPr>
          <w:rFonts w:ascii="Trebuchet MS" w:hAnsi="Trebuchet MS"/>
          <w:sz w:val="22"/>
          <w:szCs w:val="22"/>
        </w:rPr>
        <w:t xml:space="preserve"> cuenta de la atención a esta población por parte del sector educativo. </w:t>
      </w:r>
      <w:r w:rsidR="00345418" w:rsidRPr="00EF38D1">
        <w:rPr>
          <w:rFonts w:ascii="Trebuchet MS" w:hAnsi="Trebuchet MS"/>
          <w:sz w:val="22"/>
          <w:szCs w:val="22"/>
        </w:rPr>
        <w:t>Así mismo, a</w:t>
      </w:r>
      <w:r w:rsidRPr="00EF38D1">
        <w:rPr>
          <w:rFonts w:ascii="Trebuchet MS" w:hAnsi="Trebuchet MS"/>
          <w:sz w:val="22"/>
          <w:szCs w:val="22"/>
        </w:rPr>
        <w:t>spectos relevantes</w:t>
      </w:r>
      <w:r w:rsidR="00345418" w:rsidRPr="00EF38D1">
        <w:rPr>
          <w:rFonts w:ascii="Trebuchet MS" w:hAnsi="Trebuchet MS"/>
          <w:sz w:val="22"/>
          <w:szCs w:val="22"/>
        </w:rPr>
        <w:t>,</w:t>
      </w:r>
      <w:r w:rsidRPr="00EF38D1">
        <w:rPr>
          <w:rFonts w:ascii="Trebuchet MS" w:hAnsi="Trebuchet MS"/>
          <w:sz w:val="22"/>
          <w:szCs w:val="22"/>
        </w:rPr>
        <w:t xml:space="preserve"> conceptualización, desde los marcos teóricos y legales </w:t>
      </w:r>
      <w:r w:rsidR="00345418" w:rsidRPr="00EF38D1">
        <w:rPr>
          <w:rFonts w:ascii="Trebuchet MS" w:hAnsi="Trebuchet MS"/>
          <w:sz w:val="22"/>
          <w:szCs w:val="22"/>
        </w:rPr>
        <w:t xml:space="preserve">entre otros; </w:t>
      </w:r>
      <w:r w:rsidRPr="00EF38D1">
        <w:rPr>
          <w:rFonts w:ascii="Trebuchet MS" w:hAnsi="Trebuchet MS"/>
          <w:sz w:val="22"/>
          <w:szCs w:val="22"/>
        </w:rPr>
        <w:t>líneas generales estratégicas para la prestación del servicio,</w:t>
      </w:r>
      <w:r w:rsidR="00345418" w:rsidRPr="00EF38D1">
        <w:rPr>
          <w:rFonts w:ascii="Trebuchet MS" w:hAnsi="Trebuchet MS"/>
          <w:sz w:val="22"/>
          <w:szCs w:val="22"/>
        </w:rPr>
        <w:t xml:space="preserve"> para La </w:t>
      </w:r>
      <w:r w:rsidRPr="00EF38D1">
        <w:rPr>
          <w:rFonts w:ascii="Trebuchet MS" w:hAnsi="Trebuchet MS"/>
          <w:sz w:val="22"/>
          <w:szCs w:val="22"/>
        </w:rPr>
        <w:t>planeación</w:t>
      </w:r>
      <w:r w:rsidR="00345418" w:rsidRPr="00EF38D1">
        <w:rPr>
          <w:rFonts w:ascii="Trebuchet MS" w:hAnsi="Trebuchet MS"/>
          <w:sz w:val="22"/>
          <w:szCs w:val="22"/>
        </w:rPr>
        <w:t xml:space="preserve">, </w:t>
      </w:r>
      <w:r w:rsidRPr="00EF38D1">
        <w:rPr>
          <w:rFonts w:ascii="Trebuchet MS" w:hAnsi="Trebuchet MS"/>
          <w:sz w:val="22"/>
          <w:szCs w:val="22"/>
        </w:rPr>
        <w:t>financiamiento; cobertura, acceso y permanencia; calidad y pertinencia, institucionalidad e intersectorialidad</w:t>
      </w:r>
      <w:r w:rsidR="00345418" w:rsidRPr="00EF38D1">
        <w:rPr>
          <w:rFonts w:ascii="Trebuchet MS" w:hAnsi="Trebuchet MS"/>
          <w:sz w:val="22"/>
          <w:szCs w:val="22"/>
        </w:rPr>
        <w:t xml:space="preserve">. </w:t>
      </w:r>
    </w:p>
    <w:p w14:paraId="21958B23" w14:textId="77777777" w:rsidR="00C85D91" w:rsidRPr="00EF38D1" w:rsidRDefault="00C85D91" w:rsidP="00EF38D1">
      <w:pPr>
        <w:pStyle w:val="Textonotapie"/>
        <w:ind w:hanging="25"/>
        <w:jc w:val="both"/>
        <w:rPr>
          <w:rFonts w:ascii="Trebuchet MS" w:hAnsi="Trebuchet MS"/>
          <w:sz w:val="22"/>
          <w:szCs w:val="22"/>
        </w:rPr>
      </w:pPr>
    </w:p>
    <w:p w14:paraId="01079130" w14:textId="77777777" w:rsidR="008C0A3E" w:rsidRPr="00EF38D1" w:rsidRDefault="00C85D91" w:rsidP="00EF38D1">
      <w:pPr>
        <w:spacing w:line="240" w:lineRule="auto"/>
        <w:ind w:left="0" w:firstLine="0"/>
        <w:jc w:val="both"/>
        <w:rPr>
          <w:rFonts w:ascii="Trebuchet MS" w:hAnsi="Trebuchet MS"/>
          <w:sz w:val="22"/>
        </w:rPr>
      </w:pPr>
      <w:r w:rsidRPr="00EF38D1">
        <w:rPr>
          <w:rFonts w:ascii="Trebuchet MS" w:hAnsi="Trebuchet MS"/>
          <w:sz w:val="22"/>
        </w:rPr>
        <w:t xml:space="preserve">De igual manera dentro del </w:t>
      </w:r>
      <w:r w:rsidRPr="00EF38D1">
        <w:rPr>
          <w:rFonts w:ascii="Trebuchet MS" w:hAnsi="Trebuchet MS"/>
          <w:i/>
          <w:sz w:val="22"/>
        </w:rPr>
        <w:t>Plan Nacional Decenal de Educación (PNDE), 2016 - 2026</w:t>
      </w:r>
      <w:r w:rsidRPr="00EF38D1">
        <w:rPr>
          <w:rFonts w:ascii="Trebuchet MS" w:hAnsi="Trebuchet MS"/>
          <w:sz w:val="22"/>
        </w:rPr>
        <w:t>, se estableció una línea para la formación docente con el fin de fortalecer la educación para jóvenes, adultos y personas mayores.  Los planteamientos en torno a la formación de docentes, plantea el desafío estratégico N° 4 “construcción de una política pública para la formación de educadores”. En este aspecto se reitera como necesidad específica la definición de un sistema de formación que exige la articulación de los distintos niveles y núcleos de formación, pero también la coordinación de planes entre las instituciones formadoras, los centros educativos y las instancias de la dirección educativa a nivel nacional, regional y local</w:t>
      </w:r>
      <w:r w:rsidR="00365936" w:rsidRPr="00EF38D1">
        <w:rPr>
          <w:rStyle w:val="Refdenotaalpie"/>
          <w:rFonts w:ascii="Trebuchet MS" w:hAnsi="Trebuchet MS"/>
          <w:sz w:val="22"/>
        </w:rPr>
        <w:footnoteReference w:id="6"/>
      </w:r>
      <w:r w:rsidRPr="00EF38D1">
        <w:rPr>
          <w:rFonts w:ascii="Trebuchet MS" w:hAnsi="Trebuchet MS"/>
          <w:sz w:val="22"/>
        </w:rPr>
        <w:t>.</w:t>
      </w:r>
    </w:p>
    <w:p w14:paraId="1A599F41" w14:textId="77777777" w:rsidR="00E47915" w:rsidRPr="00EF38D1" w:rsidRDefault="00E47915" w:rsidP="00E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rebuchet MS" w:eastAsia="Times New Roman" w:hAnsi="Trebuchet MS" w:cs="Courier New"/>
          <w:color w:val="212121"/>
          <w:sz w:val="22"/>
          <w:lang w:val="es-ES"/>
        </w:rPr>
      </w:pPr>
    </w:p>
    <w:p w14:paraId="7B3F38A8" w14:textId="77777777" w:rsidR="00CF27AD" w:rsidRPr="00EF38D1" w:rsidRDefault="00CF27AD" w:rsidP="00E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rebuchet MS" w:eastAsia="Times New Roman" w:hAnsi="Trebuchet MS" w:cs="Courier New"/>
          <w:color w:val="212121"/>
          <w:sz w:val="22"/>
          <w:lang w:val="es-ES"/>
        </w:rPr>
      </w:pPr>
    </w:p>
    <w:p w14:paraId="436D8BA4" w14:textId="77777777" w:rsidR="00E47915" w:rsidRPr="00EF38D1" w:rsidRDefault="00E47915" w:rsidP="00EF38D1">
      <w:pPr>
        <w:pStyle w:val="Ttulo1"/>
        <w:spacing w:line="240" w:lineRule="auto"/>
        <w:jc w:val="both"/>
        <w:rPr>
          <w:rFonts w:ascii="Trebuchet MS" w:eastAsia="Times New Roman" w:hAnsi="Trebuchet MS" w:cs="Courier New"/>
          <w:color w:val="212121"/>
          <w:sz w:val="22"/>
          <w:lang w:val="es-ES"/>
        </w:rPr>
      </w:pPr>
      <w:r w:rsidRPr="00EF38D1">
        <w:rPr>
          <w:rFonts w:ascii="Trebuchet MS" w:hAnsi="Trebuchet MS"/>
          <w:sz w:val="22"/>
        </w:rPr>
        <w:t>Igualdad y no discriminación.</w:t>
      </w:r>
    </w:p>
    <w:p w14:paraId="5C92E586" w14:textId="77777777" w:rsidR="00E47915" w:rsidRPr="00EF38D1" w:rsidRDefault="00E47915" w:rsidP="00E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rebuchet MS" w:eastAsia="Times New Roman" w:hAnsi="Trebuchet MS" w:cs="Courier New"/>
          <w:color w:val="212121"/>
          <w:sz w:val="22"/>
          <w:lang w:val="es-ES"/>
        </w:rPr>
      </w:pPr>
      <w:r w:rsidRPr="00EF38D1">
        <w:rPr>
          <w:rFonts w:ascii="Trebuchet MS" w:eastAsia="Times New Roman" w:hAnsi="Trebuchet MS" w:cs="Courier New"/>
          <w:color w:val="212121"/>
          <w:sz w:val="22"/>
          <w:lang w:val="es-ES"/>
        </w:rPr>
        <w:t> </w:t>
      </w:r>
    </w:p>
    <w:p w14:paraId="0A7C2272" w14:textId="77777777" w:rsidR="00E47915" w:rsidRDefault="00E47915" w:rsidP="00EF38D1">
      <w:pPr>
        <w:spacing w:after="236" w:line="240" w:lineRule="auto"/>
        <w:ind w:left="0" w:firstLine="0"/>
        <w:jc w:val="both"/>
        <w:rPr>
          <w:rFonts w:ascii="Trebuchet MS" w:hAnsi="Trebuchet MS"/>
          <w:sz w:val="22"/>
        </w:rPr>
      </w:pPr>
      <w:r w:rsidRPr="00EF38D1">
        <w:rPr>
          <w:rFonts w:ascii="Trebuchet MS" w:hAnsi="Trebuchet MS"/>
          <w:sz w:val="22"/>
        </w:rPr>
        <w:t>5. En su país, ¿es la edad uno de los motivos prohibidos para la discriminación en relación con la educación en la vejez?</w:t>
      </w:r>
    </w:p>
    <w:p w14:paraId="57421DF2" w14:textId="0F14F613" w:rsidR="007F7EBD" w:rsidRDefault="007F7EBD" w:rsidP="00EF38D1">
      <w:pPr>
        <w:spacing w:after="236" w:line="240" w:lineRule="auto"/>
        <w:ind w:left="0" w:firstLine="0"/>
        <w:jc w:val="both"/>
        <w:rPr>
          <w:rFonts w:ascii="Trebuchet MS" w:hAnsi="Trebuchet MS"/>
          <w:sz w:val="22"/>
        </w:rPr>
      </w:pPr>
      <w:r>
        <w:rPr>
          <w:rFonts w:ascii="Trebuchet MS" w:hAnsi="Trebuchet MS"/>
          <w:sz w:val="22"/>
        </w:rPr>
        <w:t>Si</w:t>
      </w:r>
      <w:r w:rsidR="00162C5C">
        <w:rPr>
          <w:rFonts w:ascii="Trebuchet MS" w:hAnsi="Trebuchet MS"/>
          <w:sz w:val="22"/>
        </w:rPr>
        <w:t>. D</w:t>
      </w:r>
      <w:r>
        <w:rPr>
          <w:rFonts w:ascii="Trebuchet MS" w:hAnsi="Trebuchet MS"/>
          <w:sz w:val="22"/>
        </w:rPr>
        <w:t xml:space="preserve">e forma general, el </w:t>
      </w:r>
      <w:r w:rsidR="006073C5">
        <w:rPr>
          <w:rFonts w:ascii="Trebuchet MS" w:hAnsi="Trebuchet MS"/>
          <w:sz w:val="22"/>
        </w:rPr>
        <w:t>artículo</w:t>
      </w:r>
      <w:r>
        <w:rPr>
          <w:rFonts w:ascii="Trebuchet MS" w:hAnsi="Trebuchet MS"/>
          <w:sz w:val="22"/>
        </w:rPr>
        <w:t xml:space="preserve"> </w:t>
      </w:r>
      <w:bookmarkStart w:id="1" w:name="13"/>
      <w:r w:rsidRPr="007F7EBD">
        <w:rPr>
          <w:rFonts w:ascii="Trebuchet MS" w:hAnsi="Trebuchet MS"/>
          <w:sz w:val="22"/>
        </w:rPr>
        <w:t xml:space="preserve"> 13 de la Constitución Política establece</w:t>
      </w:r>
      <w:bookmarkEnd w:id="1"/>
      <w:r w:rsidR="00F329FC">
        <w:rPr>
          <w:rFonts w:ascii="Trebuchet MS" w:hAnsi="Trebuchet MS"/>
          <w:sz w:val="22"/>
        </w:rPr>
        <w:t xml:space="preserve"> que t</w:t>
      </w:r>
      <w:r w:rsidRPr="007F7EBD">
        <w:rPr>
          <w:rFonts w:ascii="Trebuchet MS" w:hAnsi="Trebuchet MS"/>
          <w:sz w:val="22"/>
        </w:rPr>
        <w:t>odas las personas nacen libres e iguales ante la ley</w:t>
      </w:r>
      <w:r w:rsidR="00F329FC">
        <w:rPr>
          <w:rFonts w:ascii="Trebuchet MS" w:hAnsi="Trebuchet MS"/>
          <w:sz w:val="22"/>
        </w:rPr>
        <w:t xml:space="preserve"> por ello</w:t>
      </w:r>
      <w:r w:rsidRPr="007F7EBD">
        <w:rPr>
          <w:rFonts w:ascii="Trebuchet MS" w:hAnsi="Trebuchet MS"/>
          <w:sz w:val="22"/>
        </w:rPr>
        <w:t xml:space="preserve"> recibirán la misma protección y trato de las autoridades y gozarán de los mismos derechos, libertades y oportunidades sin ninguna discriminación por razones de sexo, raza, origen nacional o familiar, lengua, religión, opinión política o filosófica. En desarrollo de esta disposición</w:t>
      </w:r>
      <w:r w:rsidR="00F329FC">
        <w:rPr>
          <w:rFonts w:ascii="Trebuchet MS" w:hAnsi="Trebuchet MS"/>
          <w:sz w:val="22"/>
        </w:rPr>
        <w:t>,</w:t>
      </w:r>
      <w:r w:rsidRPr="007F7EBD">
        <w:rPr>
          <w:rFonts w:ascii="Trebuchet MS" w:hAnsi="Trebuchet MS"/>
          <w:sz w:val="22"/>
        </w:rPr>
        <w:t xml:space="preserve"> la Corte Constitucional Colombiana ha establecido que las “personas mayores” o los “adultos mayores”</w:t>
      </w:r>
      <w:r w:rsidR="00F329FC">
        <w:rPr>
          <w:rFonts w:ascii="Trebuchet MS" w:hAnsi="Trebuchet MS"/>
          <w:sz w:val="22"/>
        </w:rPr>
        <w:t xml:space="preserve">, como grupo vulnerable, </w:t>
      </w:r>
      <w:r w:rsidRPr="007F7EBD">
        <w:rPr>
          <w:rFonts w:ascii="Trebuchet MS" w:hAnsi="Trebuchet MS"/>
          <w:sz w:val="22"/>
        </w:rPr>
        <w:lastRenderedPageBreak/>
        <w:t xml:space="preserve">cuentan con protección constitucional reforzada, </w:t>
      </w:r>
      <w:r w:rsidR="00F329FC">
        <w:rPr>
          <w:rFonts w:ascii="Trebuchet MS" w:hAnsi="Trebuchet MS"/>
          <w:sz w:val="22"/>
        </w:rPr>
        <w:t>“</w:t>
      </w:r>
      <w:r w:rsidR="00F329FC" w:rsidRPr="00F329FC">
        <w:rPr>
          <w:rFonts w:ascii="Trebuchet MS" w:hAnsi="Trebuchet MS"/>
          <w:sz w:val="22"/>
        </w:rPr>
        <w:t>dadas las condiciones, físicas, económicas o sociológicas, que la diferencian de los otros tipos de colectivos o sujetos</w:t>
      </w:r>
      <w:r w:rsidR="00F329FC">
        <w:rPr>
          <w:rFonts w:ascii="Trebuchet MS" w:hAnsi="Trebuchet MS"/>
          <w:sz w:val="22"/>
        </w:rPr>
        <w:t>”</w:t>
      </w:r>
      <w:r w:rsidR="00F329FC">
        <w:rPr>
          <w:rStyle w:val="Refdenotaalpie"/>
          <w:rFonts w:ascii="Trebuchet MS" w:hAnsi="Trebuchet MS"/>
          <w:sz w:val="22"/>
        </w:rPr>
        <w:footnoteReference w:id="7"/>
      </w:r>
      <w:r w:rsidR="00F329FC" w:rsidRPr="00F329FC">
        <w:rPr>
          <w:rFonts w:ascii="Trebuchet MS" w:hAnsi="Trebuchet MS"/>
          <w:sz w:val="22"/>
        </w:rPr>
        <w:t>.</w:t>
      </w:r>
    </w:p>
    <w:p w14:paraId="48EE93BE" w14:textId="77777777" w:rsidR="00553F81" w:rsidRDefault="00F329FC" w:rsidP="009118B0">
      <w:pPr>
        <w:spacing w:after="236" w:line="240" w:lineRule="auto"/>
        <w:ind w:left="0" w:firstLine="0"/>
        <w:jc w:val="both"/>
        <w:rPr>
          <w:rFonts w:ascii="Trebuchet MS" w:hAnsi="Trebuchet MS"/>
          <w:i/>
          <w:sz w:val="22"/>
        </w:rPr>
      </w:pPr>
      <w:r>
        <w:rPr>
          <w:rFonts w:ascii="Trebuchet MS" w:hAnsi="Trebuchet MS"/>
          <w:sz w:val="22"/>
        </w:rPr>
        <w:t>De ahí que muchas leyes y actos administrativos contengan medidas o acciones afirmativas específicas para este grupo poblacional</w:t>
      </w:r>
      <w:r w:rsidR="009118B0">
        <w:rPr>
          <w:rStyle w:val="Refdenotaalpie"/>
          <w:rFonts w:ascii="Trebuchet MS" w:hAnsi="Trebuchet MS"/>
          <w:sz w:val="22"/>
        </w:rPr>
        <w:footnoteReference w:id="8"/>
      </w:r>
      <w:r w:rsidR="009118B0">
        <w:rPr>
          <w:rFonts w:ascii="Trebuchet MS" w:hAnsi="Trebuchet MS"/>
          <w:sz w:val="22"/>
        </w:rPr>
        <w:t>, dentro de las cuales se destaca</w:t>
      </w:r>
      <w:r>
        <w:rPr>
          <w:rFonts w:ascii="Trebuchet MS" w:hAnsi="Trebuchet MS"/>
          <w:sz w:val="22"/>
        </w:rPr>
        <w:t xml:space="preserve">n algunas de las disposiciones consagradas en la Ley </w:t>
      </w:r>
      <w:r w:rsidR="001819EF" w:rsidRPr="001819EF">
        <w:rPr>
          <w:rFonts w:ascii="Trebuchet MS" w:hAnsi="Trebuchet MS"/>
          <w:sz w:val="22"/>
        </w:rPr>
        <w:t xml:space="preserve">1251 de 2008, </w:t>
      </w:r>
      <w:r w:rsidR="00B80EF1">
        <w:rPr>
          <w:rFonts w:ascii="Trebuchet MS" w:hAnsi="Trebuchet MS"/>
          <w:sz w:val="22"/>
        </w:rPr>
        <w:t>cuyo objetivo es “</w:t>
      </w:r>
      <w:r w:rsidR="00B80EF1" w:rsidRPr="00B80EF1">
        <w:rPr>
          <w:rFonts w:ascii="Trebuchet MS" w:hAnsi="Trebuchet MS"/>
          <w:sz w:val="22"/>
        </w:rPr>
        <w:t>lograr que los adultos mayores sean partícipes en el desarrollo de la sociedad, teniendo en cuenta sus experiencias de vida, mediante la promoción, respeto, restablecimiento, asisten</w:t>
      </w:r>
      <w:r w:rsidR="00B80EF1">
        <w:rPr>
          <w:rFonts w:ascii="Trebuchet MS" w:hAnsi="Trebuchet MS"/>
          <w:sz w:val="22"/>
        </w:rPr>
        <w:t>cia y ejercicio de sus derechos”</w:t>
      </w:r>
      <w:r w:rsidR="00B80EF1">
        <w:rPr>
          <w:rStyle w:val="Refdenotaalpie"/>
          <w:rFonts w:ascii="Trebuchet MS" w:hAnsi="Trebuchet MS"/>
          <w:sz w:val="22"/>
        </w:rPr>
        <w:footnoteReference w:id="9"/>
      </w:r>
      <w:r w:rsidR="00B80EF1">
        <w:rPr>
          <w:rFonts w:ascii="Trebuchet MS" w:hAnsi="Trebuchet MS"/>
          <w:sz w:val="22"/>
        </w:rPr>
        <w:t xml:space="preserve">, </w:t>
      </w:r>
      <w:r w:rsidR="009118B0">
        <w:rPr>
          <w:rFonts w:ascii="Trebuchet MS" w:hAnsi="Trebuchet MS"/>
          <w:sz w:val="22"/>
        </w:rPr>
        <w:t>m</w:t>
      </w:r>
      <w:r w:rsidR="001819EF" w:rsidRPr="001819EF">
        <w:rPr>
          <w:rFonts w:ascii="Trebuchet MS" w:hAnsi="Trebuchet MS"/>
          <w:sz w:val="22"/>
        </w:rPr>
        <w:t xml:space="preserve">odificada por la Ley 1850 de 2017, </w:t>
      </w:r>
      <w:r w:rsidR="001819EF" w:rsidRPr="00F329FC">
        <w:rPr>
          <w:rFonts w:ascii="Trebuchet MS" w:hAnsi="Trebuchet MS"/>
          <w:i/>
          <w:sz w:val="22"/>
        </w:rPr>
        <w:t>por medio de la cual se establecen medidas de protección al adulto mayor en Colombia</w:t>
      </w:r>
      <w:r w:rsidR="00B80EF1">
        <w:rPr>
          <w:rFonts w:ascii="Trebuchet MS" w:hAnsi="Trebuchet MS"/>
          <w:i/>
          <w:sz w:val="22"/>
        </w:rPr>
        <w:t xml:space="preserve">. </w:t>
      </w:r>
    </w:p>
    <w:p w14:paraId="1E839F0A" w14:textId="03A6CB1A" w:rsidR="009118B0" w:rsidRDefault="00B80EF1" w:rsidP="009118B0">
      <w:pPr>
        <w:spacing w:after="236" w:line="240" w:lineRule="auto"/>
        <w:ind w:left="0" w:firstLine="0"/>
        <w:jc w:val="both"/>
        <w:rPr>
          <w:rFonts w:ascii="Trebuchet MS" w:hAnsi="Trebuchet MS"/>
          <w:sz w:val="22"/>
        </w:rPr>
      </w:pPr>
      <w:r>
        <w:rPr>
          <w:rFonts w:ascii="Trebuchet MS" w:hAnsi="Trebuchet MS"/>
          <w:sz w:val="22"/>
        </w:rPr>
        <w:t xml:space="preserve">Entre estas medidas que la ley incorpora, hacen referencia directa al </w:t>
      </w:r>
      <w:r w:rsidR="009118B0">
        <w:rPr>
          <w:rFonts w:ascii="Trebuchet MS" w:hAnsi="Trebuchet MS"/>
          <w:sz w:val="22"/>
        </w:rPr>
        <w:t xml:space="preserve">derecho a la educación de esta población </w:t>
      </w:r>
      <w:r>
        <w:rPr>
          <w:rFonts w:ascii="Trebuchet MS" w:hAnsi="Trebuchet MS"/>
          <w:sz w:val="22"/>
        </w:rPr>
        <w:t>las siguientes</w:t>
      </w:r>
      <w:r w:rsidR="009118B0">
        <w:rPr>
          <w:rFonts w:ascii="Trebuchet MS" w:hAnsi="Trebuchet MS"/>
          <w:sz w:val="22"/>
        </w:rPr>
        <w:t>:</w:t>
      </w:r>
    </w:p>
    <w:p w14:paraId="2F66D907" w14:textId="3A7533DC" w:rsidR="001F01E3" w:rsidRDefault="003E0B60" w:rsidP="00E867CD">
      <w:pPr>
        <w:pStyle w:val="Prrafodelista"/>
        <w:numPr>
          <w:ilvl w:val="0"/>
          <w:numId w:val="10"/>
        </w:numPr>
        <w:spacing w:after="236" w:line="240" w:lineRule="auto"/>
        <w:jc w:val="both"/>
        <w:rPr>
          <w:rFonts w:ascii="Trebuchet MS" w:hAnsi="Trebuchet MS"/>
          <w:sz w:val="22"/>
        </w:rPr>
      </w:pPr>
      <w:r>
        <w:rPr>
          <w:rFonts w:ascii="Trebuchet MS" w:hAnsi="Trebuchet MS"/>
          <w:sz w:val="22"/>
        </w:rPr>
        <w:t>La consagración de</w:t>
      </w:r>
      <w:r w:rsidR="00E427F5">
        <w:rPr>
          <w:rFonts w:ascii="Trebuchet MS" w:hAnsi="Trebuchet MS"/>
          <w:sz w:val="22"/>
        </w:rPr>
        <w:t xml:space="preserve"> deberes </w:t>
      </w:r>
      <w:r>
        <w:rPr>
          <w:rFonts w:ascii="Trebuchet MS" w:hAnsi="Trebuchet MS"/>
          <w:sz w:val="22"/>
        </w:rPr>
        <w:t>específicos para el</w:t>
      </w:r>
      <w:r w:rsidR="001F01E3">
        <w:rPr>
          <w:rFonts w:ascii="Trebuchet MS" w:hAnsi="Trebuchet MS"/>
          <w:sz w:val="22"/>
        </w:rPr>
        <w:t xml:space="preserve"> Estado</w:t>
      </w:r>
      <w:r w:rsidR="00E427F5">
        <w:rPr>
          <w:rFonts w:ascii="Trebuchet MS" w:hAnsi="Trebuchet MS"/>
          <w:sz w:val="22"/>
        </w:rPr>
        <w:t xml:space="preserve"> </w:t>
      </w:r>
      <w:r>
        <w:rPr>
          <w:rFonts w:ascii="Trebuchet MS" w:hAnsi="Trebuchet MS"/>
          <w:sz w:val="22"/>
        </w:rPr>
        <w:t>entre los que se encuentran:</w:t>
      </w:r>
      <w:r w:rsidR="001F01E3" w:rsidRPr="001F01E3">
        <w:rPr>
          <w:rFonts w:ascii="Trebuchet MS" w:hAnsi="Trebuchet MS"/>
          <w:sz w:val="22"/>
        </w:rPr>
        <w:t xml:space="preserve"> </w:t>
      </w:r>
      <w:r w:rsidR="00E427F5">
        <w:rPr>
          <w:rFonts w:ascii="Trebuchet MS" w:hAnsi="Trebuchet MS"/>
          <w:sz w:val="22"/>
        </w:rPr>
        <w:t>i)</w:t>
      </w:r>
      <w:r w:rsidR="00553F81" w:rsidRPr="001F01E3">
        <w:rPr>
          <w:rFonts w:ascii="Trebuchet MS" w:hAnsi="Trebuchet MS"/>
          <w:sz w:val="22"/>
        </w:rPr>
        <w:t>fomentar la formación de la población en el proceso de envejecimiento</w:t>
      </w:r>
      <w:r w:rsidR="00553F81" w:rsidRPr="006073C5">
        <w:rPr>
          <w:rFonts w:ascii="Trebuchet MS" w:hAnsi="Trebuchet MS"/>
          <w:sz w:val="16"/>
          <w:szCs w:val="16"/>
        </w:rPr>
        <w:footnoteReference w:id="10"/>
      </w:r>
      <w:r w:rsidR="00553F81" w:rsidRPr="006073C5">
        <w:rPr>
          <w:rFonts w:ascii="Trebuchet MS" w:hAnsi="Trebuchet MS"/>
          <w:sz w:val="16"/>
          <w:szCs w:val="16"/>
        </w:rPr>
        <w:t>;</w:t>
      </w:r>
      <w:r w:rsidR="00553F81" w:rsidRPr="001F01E3">
        <w:rPr>
          <w:rFonts w:ascii="Trebuchet MS" w:hAnsi="Trebuchet MS"/>
          <w:sz w:val="22"/>
        </w:rPr>
        <w:t xml:space="preserve"> </w:t>
      </w:r>
      <w:r w:rsidR="00E427F5">
        <w:rPr>
          <w:rFonts w:ascii="Trebuchet MS" w:hAnsi="Trebuchet MS"/>
          <w:sz w:val="22"/>
        </w:rPr>
        <w:t>ii)</w:t>
      </w:r>
      <w:r w:rsidR="00553F81" w:rsidRPr="001F01E3">
        <w:rPr>
          <w:rFonts w:ascii="Trebuchet MS" w:hAnsi="Trebuchet MS"/>
          <w:sz w:val="22"/>
        </w:rPr>
        <w:t>eliminar toda forma de discriminación, maltrato, abuso y violencia sobre los adultos mayores</w:t>
      </w:r>
      <w:r w:rsidR="00553F81" w:rsidRPr="006073C5">
        <w:rPr>
          <w:rFonts w:ascii="Trebuchet MS" w:hAnsi="Trebuchet MS"/>
          <w:sz w:val="16"/>
          <w:szCs w:val="16"/>
        </w:rPr>
        <w:footnoteReference w:id="11"/>
      </w:r>
      <w:r w:rsidR="00553F81" w:rsidRPr="001F01E3">
        <w:rPr>
          <w:rFonts w:ascii="Trebuchet MS" w:hAnsi="Trebuchet MS"/>
          <w:sz w:val="22"/>
        </w:rPr>
        <w:t xml:space="preserve">; </w:t>
      </w:r>
      <w:r w:rsidR="00E427F5">
        <w:rPr>
          <w:rFonts w:ascii="Trebuchet MS" w:hAnsi="Trebuchet MS"/>
          <w:sz w:val="22"/>
        </w:rPr>
        <w:t xml:space="preserve">iii) </w:t>
      </w:r>
      <w:r w:rsidR="00553F81" w:rsidRPr="001F01E3">
        <w:rPr>
          <w:rFonts w:ascii="Trebuchet MS" w:hAnsi="Trebuchet MS"/>
          <w:sz w:val="22"/>
        </w:rPr>
        <w:t>introducir el concepto de educación en la sociedad fomentando el autocuidado, la participación y la productividad en todas las edades para vivir, envejecer y tener una vejez digna</w:t>
      </w:r>
      <w:r w:rsidR="00553F81" w:rsidRPr="001F01E3">
        <w:rPr>
          <w:rFonts w:ascii="Trebuchet MS" w:hAnsi="Trebuchet MS"/>
          <w:sz w:val="22"/>
        </w:rPr>
        <w:footnoteReference w:id="12"/>
      </w:r>
      <w:r w:rsidR="00553F81" w:rsidRPr="001F01E3">
        <w:rPr>
          <w:rFonts w:ascii="Trebuchet MS" w:hAnsi="Trebuchet MS"/>
          <w:sz w:val="22"/>
        </w:rPr>
        <w:t xml:space="preserve">; </w:t>
      </w:r>
      <w:r w:rsidR="00E427F5">
        <w:rPr>
          <w:rFonts w:ascii="Trebuchet MS" w:hAnsi="Trebuchet MS"/>
          <w:sz w:val="22"/>
        </w:rPr>
        <w:t xml:space="preserve">iv) </w:t>
      </w:r>
      <w:r w:rsidR="00553F81" w:rsidRPr="001F01E3">
        <w:rPr>
          <w:rFonts w:ascii="Trebuchet MS" w:hAnsi="Trebuchet MS"/>
          <w:sz w:val="22"/>
        </w:rPr>
        <w:t>diseñar estrategias para promover o estimular condiciones y estilos de vida que contrarresten los efectos y la discriminación acerca del envejecimiento y la vejez</w:t>
      </w:r>
      <w:r w:rsidR="00553F81" w:rsidRPr="006073C5">
        <w:rPr>
          <w:rFonts w:ascii="Trebuchet MS" w:hAnsi="Trebuchet MS"/>
          <w:sz w:val="16"/>
          <w:szCs w:val="16"/>
        </w:rPr>
        <w:footnoteReference w:id="13"/>
      </w:r>
      <w:r w:rsidR="006073C5">
        <w:rPr>
          <w:rFonts w:ascii="Trebuchet MS" w:hAnsi="Trebuchet MS"/>
          <w:sz w:val="22"/>
        </w:rPr>
        <w:t>.</w:t>
      </w:r>
    </w:p>
    <w:p w14:paraId="17FD154C" w14:textId="77777777" w:rsidR="001F01E3" w:rsidRPr="001F01E3" w:rsidRDefault="001F01E3" w:rsidP="001F01E3">
      <w:pPr>
        <w:pStyle w:val="Prrafodelista"/>
        <w:spacing w:after="236" w:line="240" w:lineRule="auto"/>
        <w:ind w:firstLine="0"/>
        <w:jc w:val="both"/>
        <w:rPr>
          <w:rFonts w:ascii="Trebuchet MS" w:hAnsi="Trebuchet MS"/>
          <w:sz w:val="22"/>
        </w:rPr>
      </w:pPr>
    </w:p>
    <w:p w14:paraId="1163D72A" w14:textId="6267033B" w:rsidR="007F7EBD" w:rsidRPr="001F01E3" w:rsidRDefault="003E0B60" w:rsidP="00E867CD">
      <w:pPr>
        <w:pStyle w:val="Prrafodelista"/>
        <w:numPr>
          <w:ilvl w:val="0"/>
          <w:numId w:val="10"/>
        </w:numPr>
        <w:spacing w:after="236" w:line="240" w:lineRule="auto"/>
        <w:jc w:val="both"/>
        <w:rPr>
          <w:rFonts w:ascii="Trebuchet MS" w:hAnsi="Trebuchet MS"/>
          <w:sz w:val="22"/>
        </w:rPr>
      </w:pPr>
      <w:r>
        <w:rPr>
          <w:rFonts w:ascii="Trebuchet MS" w:hAnsi="Trebuchet MS"/>
          <w:sz w:val="22"/>
        </w:rPr>
        <w:t xml:space="preserve">La </w:t>
      </w:r>
      <w:r w:rsidR="006073C5">
        <w:rPr>
          <w:rFonts w:ascii="Trebuchet MS" w:hAnsi="Trebuchet MS"/>
          <w:sz w:val="22"/>
        </w:rPr>
        <w:t>consagración</w:t>
      </w:r>
      <w:r>
        <w:rPr>
          <w:rFonts w:ascii="Trebuchet MS" w:hAnsi="Trebuchet MS"/>
          <w:sz w:val="22"/>
        </w:rPr>
        <w:t xml:space="preserve"> de </w:t>
      </w:r>
      <w:r w:rsidR="001F01E3" w:rsidRPr="001F01E3">
        <w:rPr>
          <w:rFonts w:ascii="Trebuchet MS" w:hAnsi="Trebuchet MS"/>
          <w:sz w:val="22"/>
        </w:rPr>
        <w:t xml:space="preserve">deberes </w:t>
      </w:r>
      <w:r>
        <w:rPr>
          <w:rFonts w:ascii="Trebuchet MS" w:hAnsi="Trebuchet MS"/>
          <w:sz w:val="22"/>
        </w:rPr>
        <w:t>específicos para</w:t>
      </w:r>
      <w:r w:rsidR="00372C7A" w:rsidRPr="001F01E3">
        <w:rPr>
          <w:rFonts w:ascii="Trebuchet MS" w:hAnsi="Trebuchet MS"/>
          <w:sz w:val="22"/>
        </w:rPr>
        <w:t xml:space="preserve"> la sociedad civil</w:t>
      </w:r>
      <w:r w:rsidR="001F01E3" w:rsidRPr="001F01E3">
        <w:rPr>
          <w:rFonts w:ascii="Trebuchet MS" w:hAnsi="Trebuchet MS"/>
          <w:sz w:val="22"/>
        </w:rPr>
        <w:t xml:space="preserve"> </w:t>
      </w:r>
      <w:r>
        <w:rPr>
          <w:rFonts w:ascii="Trebuchet MS" w:hAnsi="Trebuchet MS"/>
          <w:sz w:val="22"/>
        </w:rPr>
        <w:t>entre los que se encuentran</w:t>
      </w:r>
      <w:r w:rsidR="001F01E3" w:rsidRPr="001F01E3">
        <w:rPr>
          <w:rFonts w:ascii="Trebuchet MS" w:hAnsi="Trebuchet MS"/>
          <w:sz w:val="22"/>
        </w:rPr>
        <w:t xml:space="preserve"> </w:t>
      </w:r>
      <w:r w:rsidR="00E427F5">
        <w:rPr>
          <w:rFonts w:ascii="Trebuchet MS" w:hAnsi="Trebuchet MS"/>
          <w:sz w:val="22"/>
        </w:rPr>
        <w:t>i)</w:t>
      </w:r>
      <w:r>
        <w:rPr>
          <w:rFonts w:ascii="Trebuchet MS" w:hAnsi="Trebuchet MS"/>
          <w:sz w:val="22"/>
        </w:rPr>
        <w:t xml:space="preserve"> </w:t>
      </w:r>
      <w:r w:rsidR="001F01E3" w:rsidRPr="001F01E3">
        <w:rPr>
          <w:rFonts w:ascii="Trebuchet MS" w:hAnsi="Trebuchet MS"/>
          <w:sz w:val="22"/>
        </w:rPr>
        <w:t>g</w:t>
      </w:r>
      <w:r w:rsidR="00372C7A" w:rsidRPr="001F01E3">
        <w:rPr>
          <w:rFonts w:ascii="Trebuchet MS" w:hAnsi="Trebuchet MS"/>
          <w:sz w:val="22"/>
        </w:rPr>
        <w:t>enerar espacios de reconocimiento del saber, de las habilidades, competencias y destrezas de los adultos mayores</w:t>
      </w:r>
      <w:r w:rsidR="00372C7A" w:rsidRPr="00E760EE">
        <w:rPr>
          <w:rFonts w:ascii="Trebuchet MS" w:hAnsi="Trebuchet MS"/>
          <w:sz w:val="16"/>
          <w:szCs w:val="16"/>
        </w:rPr>
        <w:footnoteReference w:id="14"/>
      </w:r>
      <w:r w:rsidR="00E427F5" w:rsidRPr="00E760EE">
        <w:rPr>
          <w:rFonts w:ascii="Trebuchet MS" w:hAnsi="Trebuchet MS"/>
          <w:sz w:val="16"/>
          <w:szCs w:val="16"/>
        </w:rPr>
        <w:t xml:space="preserve"> </w:t>
      </w:r>
      <w:r w:rsidR="00E427F5">
        <w:rPr>
          <w:rFonts w:ascii="Trebuchet MS" w:hAnsi="Trebuchet MS"/>
          <w:sz w:val="22"/>
        </w:rPr>
        <w:t xml:space="preserve">y </w:t>
      </w:r>
      <w:r w:rsidR="00E51E65" w:rsidRPr="001F01E3">
        <w:rPr>
          <w:rFonts w:ascii="Trebuchet MS" w:hAnsi="Trebuchet MS"/>
          <w:sz w:val="22"/>
        </w:rPr>
        <w:t>cumplir con los estándares de calidad que estén establecidos para la prestación de los servicios sociales, de salud, educación y cultura que se encuentren establecidos teniendo en cuenta que sean accesibles a los adultos mayores</w:t>
      </w:r>
      <w:r w:rsidR="00E51E65" w:rsidRPr="006073C5">
        <w:rPr>
          <w:rFonts w:ascii="Trebuchet MS" w:hAnsi="Trebuchet MS"/>
          <w:sz w:val="16"/>
          <w:szCs w:val="16"/>
        </w:rPr>
        <w:footnoteReference w:id="15"/>
      </w:r>
      <w:r w:rsidR="00E51E65" w:rsidRPr="001F01E3">
        <w:rPr>
          <w:rFonts w:ascii="Trebuchet MS" w:hAnsi="Trebuchet MS"/>
          <w:sz w:val="22"/>
        </w:rPr>
        <w:t>.</w:t>
      </w:r>
    </w:p>
    <w:p w14:paraId="044A057F" w14:textId="77777777" w:rsidR="001F01E3" w:rsidRPr="00585876" w:rsidRDefault="001F01E3" w:rsidP="001F01E3">
      <w:pPr>
        <w:pStyle w:val="Prrafodelista"/>
        <w:spacing w:after="236" w:line="240" w:lineRule="auto"/>
        <w:ind w:firstLine="0"/>
        <w:jc w:val="both"/>
        <w:rPr>
          <w:rFonts w:ascii="Trebuchet MS" w:hAnsi="Trebuchet MS"/>
          <w:sz w:val="22"/>
        </w:rPr>
      </w:pPr>
    </w:p>
    <w:p w14:paraId="3DF1BE55" w14:textId="574ACA54" w:rsidR="001F01E3" w:rsidRPr="003E0B60" w:rsidRDefault="003E0B60" w:rsidP="001F01E3">
      <w:pPr>
        <w:pStyle w:val="Prrafodelista"/>
        <w:numPr>
          <w:ilvl w:val="0"/>
          <w:numId w:val="10"/>
        </w:numPr>
        <w:spacing w:after="236" w:line="240" w:lineRule="auto"/>
        <w:jc w:val="both"/>
        <w:rPr>
          <w:rFonts w:ascii="Trebuchet MS" w:hAnsi="Trebuchet MS"/>
          <w:sz w:val="22"/>
        </w:rPr>
      </w:pPr>
      <w:r>
        <w:rPr>
          <w:rFonts w:ascii="Trebuchet MS" w:hAnsi="Trebuchet MS"/>
          <w:sz w:val="22"/>
        </w:rPr>
        <w:t xml:space="preserve">La </w:t>
      </w:r>
      <w:r w:rsidRPr="00AE22F2">
        <w:rPr>
          <w:rFonts w:ascii="Trebuchet MS" w:hAnsi="Trebuchet MS"/>
          <w:sz w:val="22"/>
        </w:rPr>
        <w:t xml:space="preserve">consagración de directrices específicas para la elaboración de la </w:t>
      </w:r>
      <w:r w:rsidR="00585876" w:rsidRPr="00AE22F2">
        <w:rPr>
          <w:rFonts w:ascii="Trebuchet MS" w:hAnsi="Trebuchet MS"/>
          <w:sz w:val="22"/>
        </w:rPr>
        <w:t xml:space="preserve">Política Nacional de Envejecimiento y Vejez, </w:t>
      </w:r>
      <w:r w:rsidRPr="00AE22F2">
        <w:rPr>
          <w:rFonts w:ascii="Trebuchet MS" w:hAnsi="Trebuchet MS"/>
          <w:sz w:val="22"/>
        </w:rPr>
        <w:t>por las cuales se deben aplicar como ejes transversales,  tanto la perspectiva</w:t>
      </w:r>
      <w:r w:rsidR="00585876" w:rsidRPr="00AE22F2">
        <w:rPr>
          <w:rFonts w:ascii="Trebuchet MS" w:hAnsi="Trebuchet MS"/>
          <w:sz w:val="22"/>
        </w:rPr>
        <w:t xml:space="preserve"> género </w:t>
      </w:r>
      <w:r w:rsidRPr="00AE22F2">
        <w:rPr>
          <w:rFonts w:ascii="Trebuchet MS" w:hAnsi="Trebuchet MS"/>
          <w:sz w:val="22"/>
        </w:rPr>
        <w:t>como “</w:t>
      </w:r>
      <w:r w:rsidR="00585876" w:rsidRPr="00AE22F2">
        <w:rPr>
          <w:rFonts w:ascii="Trebuchet MS" w:hAnsi="Trebuchet MS" w:cs="Arial"/>
          <w:sz w:val="22"/>
        </w:rPr>
        <w:t xml:space="preserve">los criterios, consideraciones de proyecciones de la información demográfica como elemento técnico en la elaboración de planes y </w:t>
      </w:r>
      <w:r w:rsidR="00585876" w:rsidRPr="00AE22F2">
        <w:rPr>
          <w:rFonts w:ascii="Trebuchet MS" w:hAnsi="Trebuchet MS" w:cs="Arial"/>
          <w:sz w:val="22"/>
        </w:rPr>
        <w:lastRenderedPageBreak/>
        <w:t>programas de educación, salud, cultura, recreación, trabajo y medio ambiente para el adulto mayo</w:t>
      </w:r>
      <w:bookmarkStart w:id="2" w:name="17"/>
      <w:r w:rsidRPr="00AE22F2">
        <w:rPr>
          <w:rFonts w:ascii="Trebuchet MS" w:hAnsi="Trebuchet MS" w:cs="Arial"/>
          <w:sz w:val="22"/>
        </w:rPr>
        <w:t>r</w:t>
      </w:r>
      <w:r>
        <w:rPr>
          <w:rFonts w:ascii="Arial" w:hAnsi="Arial" w:cs="Arial"/>
          <w:sz w:val="21"/>
          <w:szCs w:val="21"/>
        </w:rPr>
        <w:t>”</w:t>
      </w:r>
      <w:r>
        <w:rPr>
          <w:rStyle w:val="Refdenotaalpie"/>
          <w:rFonts w:ascii="Arial" w:hAnsi="Arial" w:cs="Arial"/>
          <w:sz w:val="21"/>
          <w:szCs w:val="21"/>
        </w:rPr>
        <w:footnoteReference w:id="16"/>
      </w:r>
      <w:r w:rsidR="00AE22F2">
        <w:rPr>
          <w:rFonts w:ascii="Arial" w:hAnsi="Arial" w:cs="Arial"/>
          <w:sz w:val="21"/>
          <w:szCs w:val="21"/>
        </w:rPr>
        <w:t>.</w:t>
      </w:r>
    </w:p>
    <w:p w14:paraId="1DF50813" w14:textId="77777777" w:rsidR="003E0B60" w:rsidRPr="003E0B60" w:rsidRDefault="003E0B60" w:rsidP="003E0B60">
      <w:pPr>
        <w:pStyle w:val="Prrafodelista"/>
        <w:rPr>
          <w:rFonts w:ascii="Trebuchet MS" w:hAnsi="Trebuchet MS"/>
          <w:sz w:val="22"/>
        </w:rPr>
      </w:pPr>
    </w:p>
    <w:p w14:paraId="6AD69871" w14:textId="39BD08C6" w:rsidR="001F01E3" w:rsidRPr="0056234A" w:rsidRDefault="003E0B60" w:rsidP="0056234A">
      <w:pPr>
        <w:pStyle w:val="Prrafodelista"/>
        <w:numPr>
          <w:ilvl w:val="0"/>
          <w:numId w:val="10"/>
        </w:numPr>
        <w:spacing w:after="236" w:line="240" w:lineRule="auto"/>
        <w:jc w:val="both"/>
        <w:rPr>
          <w:rFonts w:ascii="Trebuchet MS" w:hAnsi="Trebuchet MS"/>
          <w:sz w:val="22"/>
        </w:rPr>
      </w:pPr>
      <w:r w:rsidRPr="0056234A">
        <w:rPr>
          <w:rFonts w:ascii="Trebuchet MS" w:hAnsi="Trebuchet MS"/>
          <w:sz w:val="22"/>
        </w:rPr>
        <w:t>La estipulación de áreas específicas de intervención dentro del Plan Nacional</w:t>
      </w:r>
      <w:r w:rsidR="00845904">
        <w:rPr>
          <w:rFonts w:ascii="Trebuchet MS" w:hAnsi="Trebuchet MS"/>
          <w:sz w:val="22"/>
        </w:rPr>
        <w:t xml:space="preserve"> </w:t>
      </w:r>
      <w:r w:rsidR="00845904" w:rsidRPr="00585876">
        <w:rPr>
          <w:rFonts w:ascii="Trebuchet MS" w:hAnsi="Trebuchet MS"/>
          <w:sz w:val="22"/>
        </w:rPr>
        <w:t xml:space="preserve">de Envejecimiento y </w:t>
      </w:r>
      <w:r w:rsidR="001E1CAA" w:rsidRPr="00585876">
        <w:rPr>
          <w:rFonts w:ascii="Trebuchet MS" w:hAnsi="Trebuchet MS"/>
          <w:sz w:val="22"/>
        </w:rPr>
        <w:t>Vejez</w:t>
      </w:r>
      <w:r w:rsidR="001E1CAA">
        <w:rPr>
          <w:rFonts w:ascii="Trebuchet MS" w:hAnsi="Trebuchet MS"/>
          <w:sz w:val="22"/>
        </w:rPr>
        <w:t>,</w:t>
      </w:r>
      <w:r w:rsidRPr="0056234A">
        <w:rPr>
          <w:rFonts w:ascii="Trebuchet MS" w:hAnsi="Trebuchet MS"/>
          <w:sz w:val="22"/>
        </w:rPr>
        <w:t xml:space="preserve"> dirigidas a fomentar la educación, cultura y recreación de las personas mayores, como “</w:t>
      </w:r>
      <w:bookmarkEnd w:id="2"/>
      <w:r w:rsidRPr="0056234A">
        <w:rPr>
          <w:rFonts w:ascii="Trebuchet MS" w:hAnsi="Trebuchet MS"/>
          <w:sz w:val="22"/>
        </w:rPr>
        <w:t>p</w:t>
      </w:r>
      <w:r w:rsidR="001F01E3" w:rsidRPr="0056234A">
        <w:rPr>
          <w:rFonts w:ascii="Trebuchet MS" w:hAnsi="Trebuchet MS"/>
          <w:sz w:val="22"/>
        </w:rPr>
        <w:t>arte del proceso de formación integral del ser humano</w:t>
      </w:r>
      <w:r w:rsidRPr="0056234A">
        <w:rPr>
          <w:rFonts w:ascii="Trebuchet MS" w:hAnsi="Trebuchet MS"/>
          <w:sz w:val="22"/>
        </w:rPr>
        <w:t xml:space="preserve">”. Para lo cual, la misma ley dispone que el </w:t>
      </w:r>
      <w:r w:rsidR="001F01E3" w:rsidRPr="0056234A">
        <w:rPr>
          <w:rFonts w:ascii="Trebuchet MS" w:hAnsi="Trebuchet MS"/>
          <w:sz w:val="22"/>
        </w:rPr>
        <w:t xml:space="preserve"> Estado deberá: </w:t>
      </w:r>
      <w:r w:rsidRPr="0056234A">
        <w:rPr>
          <w:rFonts w:ascii="Trebuchet MS" w:hAnsi="Trebuchet MS"/>
          <w:sz w:val="22"/>
        </w:rPr>
        <w:t>“</w:t>
      </w:r>
      <w:r w:rsidR="001F01E3" w:rsidRPr="0056234A">
        <w:rPr>
          <w:rFonts w:ascii="Trebuchet MS" w:hAnsi="Trebuchet MS"/>
          <w:sz w:val="22"/>
        </w:rPr>
        <w:t>(…)c) Propender por desarrollar en los adultos mayores la formación en derechos humanos, educación para la participación ciudadana en la equidad y participación y, en general, en todos los campos de su interés para el mejoramiento continuo;</w:t>
      </w:r>
      <w:r w:rsidRPr="0056234A">
        <w:rPr>
          <w:rFonts w:ascii="Trebuchet MS" w:hAnsi="Trebuchet MS"/>
          <w:sz w:val="22"/>
        </w:rPr>
        <w:t xml:space="preserve"> </w:t>
      </w:r>
      <w:r w:rsidR="001F01E3" w:rsidRPr="0056234A">
        <w:rPr>
          <w:rFonts w:ascii="Trebuchet MS" w:hAnsi="Trebuchet MS"/>
          <w:sz w:val="22"/>
        </w:rPr>
        <w:t>d) Educación intercultural en temas ambientales y de sostenibilidad, de desarrollo económico y social con énfasis en el mejoramiento de la calidad de vida;</w:t>
      </w:r>
      <w:r w:rsidRPr="0056234A">
        <w:rPr>
          <w:rFonts w:ascii="Trebuchet MS" w:hAnsi="Trebuchet MS"/>
          <w:sz w:val="22"/>
        </w:rPr>
        <w:t xml:space="preserve"> </w:t>
      </w:r>
      <w:r w:rsidR="001F01E3" w:rsidRPr="0056234A">
        <w:rPr>
          <w:rFonts w:ascii="Trebuchet MS" w:hAnsi="Trebuchet MS"/>
          <w:sz w:val="22"/>
        </w:rPr>
        <w:t>e) Lograr una mejor calidad y expectativas de vida personal, familiar y social a través de acciones educativas y participativas que permitan crear conciencia de la dignidad humana y formar actitudes positivas y respetuosas frente a la vejez y al envejecimiento como aporte a la sociedad;</w:t>
      </w:r>
      <w:r w:rsidRPr="0056234A">
        <w:rPr>
          <w:rFonts w:ascii="Trebuchet MS" w:hAnsi="Trebuchet MS"/>
          <w:sz w:val="22"/>
        </w:rPr>
        <w:t xml:space="preserve"> </w:t>
      </w:r>
      <w:r w:rsidR="001F01E3" w:rsidRPr="0056234A">
        <w:rPr>
          <w:rFonts w:ascii="Trebuchet MS" w:hAnsi="Trebuchet MS"/>
          <w:sz w:val="22"/>
        </w:rPr>
        <w:t>f) Contribuir a la educación integral de esta población permitiéndole elaborar proyectos de vida acordes con su edad y expectativas de vida que los ayuden a asumir roles en la vida familiar y social;</w:t>
      </w:r>
      <w:r w:rsidRPr="0056234A">
        <w:rPr>
          <w:rFonts w:ascii="Trebuchet MS" w:hAnsi="Trebuchet MS"/>
          <w:sz w:val="22"/>
        </w:rPr>
        <w:t xml:space="preserve"> </w:t>
      </w:r>
      <w:r w:rsidR="001F01E3" w:rsidRPr="0056234A">
        <w:rPr>
          <w:rFonts w:ascii="Trebuchet MS" w:hAnsi="Trebuchet MS"/>
          <w:sz w:val="22"/>
        </w:rPr>
        <w:t>g) Integrar de manera efectiva el saber adquirido por los adultos mayores optimizándolo dentro de la sociedad</w:t>
      </w:r>
      <w:r w:rsidRPr="0056234A">
        <w:rPr>
          <w:rFonts w:ascii="Trebuchet MS" w:hAnsi="Trebuchet MS"/>
          <w:sz w:val="22"/>
        </w:rPr>
        <w:t>”</w:t>
      </w:r>
      <w:r w:rsidRPr="00147CD2">
        <w:rPr>
          <w:sz w:val="16"/>
          <w:szCs w:val="16"/>
        </w:rPr>
        <w:footnoteReference w:id="17"/>
      </w:r>
      <w:r w:rsidR="00147CD2">
        <w:rPr>
          <w:rFonts w:ascii="Trebuchet MS" w:hAnsi="Trebuchet MS"/>
          <w:sz w:val="22"/>
        </w:rPr>
        <w:t>.</w:t>
      </w:r>
    </w:p>
    <w:p w14:paraId="21DE1046" w14:textId="65099E25" w:rsidR="001F01E3" w:rsidRPr="00E867CD" w:rsidRDefault="001F01E3" w:rsidP="001F01E3">
      <w:pPr>
        <w:pStyle w:val="Prrafodelista"/>
        <w:spacing w:after="236" w:line="240" w:lineRule="auto"/>
        <w:ind w:firstLine="0"/>
        <w:jc w:val="both"/>
        <w:rPr>
          <w:rFonts w:ascii="Trebuchet MS" w:hAnsi="Trebuchet MS"/>
          <w:sz w:val="22"/>
        </w:rPr>
      </w:pPr>
    </w:p>
    <w:p w14:paraId="3E421D9F" w14:textId="77777777" w:rsidR="00E47915" w:rsidRPr="00EF38D1" w:rsidRDefault="00E47915" w:rsidP="00EF38D1">
      <w:pPr>
        <w:pStyle w:val="Ttulo1"/>
        <w:spacing w:after="258" w:line="240" w:lineRule="auto"/>
        <w:jc w:val="both"/>
        <w:rPr>
          <w:rFonts w:ascii="Trebuchet MS" w:hAnsi="Trebuchet MS"/>
          <w:sz w:val="22"/>
        </w:rPr>
      </w:pPr>
      <w:r w:rsidRPr="00EF38D1">
        <w:rPr>
          <w:rFonts w:ascii="Trebuchet MS" w:hAnsi="Trebuchet MS"/>
          <w:sz w:val="22"/>
        </w:rPr>
        <w:t>Responsabilidad</w:t>
      </w:r>
    </w:p>
    <w:p w14:paraId="09773046" w14:textId="77777777" w:rsidR="00E47915" w:rsidRPr="00EF38D1" w:rsidRDefault="00974F34" w:rsidP="00EF38D1">
      <w:pPr>
        <w:spacing w:after="236" w:line="240" w:lineRule="auto"/>
        <w:ind w:left="0" w:firstLine="0"/>
        <w:jc w:val="both"/>
        <w:rPr>
          <w:rFonts w:ascii="Trebuchet MS" w:hAnsi="Trebuchet MS"/>
          <w:sz w:val="22"/>
        </w:rPr>
      </w:pPr>
      <w:r w:rsidRPr="00EF38D1">
        <w:rPr>
          <w:rFonts w:ascii="Trebuchet MS" w:hAnsi="Trebuchet MS"/>
          <w:sz w:val="22"/>
        </w:rPr>
        <w:t>6. ¿</w:t>
      </w:r>
      <w:r w:rsidR="00E47915" w:rsidRPr="00EF38D1">
        <w:rPr>
          <w:rFonts w:ascii="Trebuchet MS" w:hAnsi="Trebuchet MS"/>
          <w:sz w:val="22"/>
        </w:rPr>
        <w:t>Qué mecanismos son necesarios, o ya existen, para que las personas mayores presenten quejas y busquen una reparación por la denegación de su derecho a la educación, la capacitación, el aprendizaje permanente y el desarrollo de capacidades?</w:t>
      </w:r>
    </w:p>
    <w:p w14:paraId="4D35AA96" w14:textId="77777777" w:rsidR="001D672E" w:rsidRDefault="009E1A8C" w:rsidP="00EF38D1">
      <w:pPr>
        <w:spacing w:after="236" w:line="240" w:lineRule="auto"/>
        <w:ind w:left="0" w:firstLine="0"/>
        <w:jc w:val="both"/>
        <w:rPr>
          <w:rFonts w:ascii="Trebuchet MS" w:hAnsi="Trebuchet MS"/>
          <w:sz w:val="22"/>
        </w:rPr>
      </w:pPr>
      <w:r w:rsidRPr="00EF38D1">
        <w:rPr>
          <w:rFonts w:ascii="Trebuchet MS" w:hAnsi="Trebuchet MS"/>
          <w:b/>
          <w:sz w:val="22"/>
        </w:rPr>
        <w:t>R/</w:t>
      </w:r>
      <w:r w:rsidRPr="00EF38D1">
        <w:rPr>
          <w:rFonts w:ascii="Trebuchet MS" w:hAnsi="Trebuchet MS"/>
          <w:sz w:val="22"/>
        </w:rPr>
        <w:t xml:space="preserve"> </w:t>
      </w:r>
      <w:r w:rsidR="0017078C" w:rsidRPr="00EF38D1">
        <w:rPr>
          <w:rFonts w:ascii="Trebuchet MS" w:hAnsi="Trebuchet MS"/>
          <w:sz w:val="22"/>
        </w:rPr>
        <w:t xml:space="preserve">Las acciones constitucionales como la acción de tutela, la acción de cumplimiento y las acciones populares, son medios para exigir la garantía del derecho a la educación, en los términos contemplados en los artículos 86, 87 y 88 de la Constitución Política. En particular, la acción de tutela se ha convertido en un mecanismo de mucha importancia para exigir la efectiva realización del derecho a la educación como derecho fundamental. Por ejemplo, la tutela ha permitido proteger el derecho a la educación </w:t>
      </w:r>
      <w:r w:rsidR="001D672E">
        <w:rPr>
          <w:rFonts w:ascii="Trebuchet MS" w:hAnsi="Trebuchet MS"/>
          <w:sz w:val="22"/>
        </w:rPr>
        <w:t>c</w:t>
      </w:r>
      <w:r w:rsidR="0017078C" w:rsidRPr="00EF38D1">
        <w:rPr>
          <w:rFonts w:ascii="Trebuchet MS" w:hAnsi="Trebuchet MS"/>
          <w:sz w:val="22"/>
        </w:rPr>
        <w:t xml:space="preserve">uando los planteles educativos no cuentan con una adecuada infraestructura física, con los medios necesarios para su funcionamiento (bibliotecas, laboratorios, etc.) o con personal docente competente y en cantidad suficiente. </w:t>
      </w:r>
    </w:p>
    <w:p w14:paraId="679849BE" w14:textId="73912CB6" w:rsidR="00B35461" w:rsidRDefault="001D672E" w:rsidP="00EF38D1">
      <w:pPr>
        <w:spacing w:after="236" w:line="240" w:lineRule="auto"/>
        <w:ind w:left="0" w:firstLine="0"/>
        <w:jc w:val="both"/>
        <w:rPr>
          <w:rFonts w:ascii="Trebuchet MS" w:hAnsi="Trebuchet MS"/>
          <w:sz w:val="22"/>
        </w:rPr>
      </w:pPr>
      <w:r>
        <w:rPr>
          <w:rFonts w:ascii="Trebuchet MS" w:hAnsi="Trebuchet MS"/>
          <w:sz w:val="22"/>
        </w:rPr>
        <w:t>En el mismo sentido, c</w:t>
      </w:r>
      <w:r w:rsidR="0017078C" w:rsidRPr="00EF38D1">
        <w:rPr>
          <w:rFonts w:ascii="Trebuchet MS" w:hAnsi="Trebuchet MS"/>
          <w:sz w:val="22"/>
        </w:rPr>
        <w:t>uando los contenidos educativos o los medios pedagógicos no se adaptan a las necesidades específicas de grupos (como los pueblos indígenas y las comunidades afrocolombianas) o de individuos (personas en condiciones de discapacidad o con capacidades excepcionales). Cuando un obstáculo se interpone en el acceso geográfico o económico a los servicios educativos. Cuando existen ambientes escolares en los que se vulneran derechos humanos de miembros de la</w:t>
      </w:r>
      <w:r w:rsidR="00C73985" w:rsidRPr="00EF38D1">
        <w:rPr>
          <w:rFonts w:ascii="Trebuchet MS" w:hAnsi="Trebuchet MS"/>
          <w:sz w:val="22"/>
        </w:rPr>
        <w:t xml:space="preserve"> comunidad </w:t>
      </w:r>
      <w:r w:rsidR="00D84028" w:rsidRPr="00EF38D1">
        <w:rPr>
          <w:rFonts w:ascii="Trebuchet MS" w:hAnsi="Trebuchet MS"/>
          <w:sz w:val="22"/>
        </w:rPr>
        <w:t>educativa (docentes o alumnos)</w:t>
      </w:r>
      <w:r w:rsidR="00333617">
        <w:rPr>
          <w:rFonts w:ascii="Trebuchet MS" w:hAnsi="Trebuchet MS"/>
          <w:sz w:val="22"/>
        </w:rPr>
        <w:t xml:space="preserve"> o cuando se vulnera el derecho a la igualdad en el acceso a la educación. </w:t>
      </w:r>
    </w:p>
    <w:p w14:paraId="5684DA64" w14:textId="337E0451" w:rsidR="00A30271" w:rsidRPr="00A30271" w:rsidRDefault="00A30271" w:rsidP="00D275F9">
      <w:pPr>
        <w:spacing w:after="0" w:line="240" w:lineRule="auto"/>
        <w:ind w:left="0" w:firstLine="0"/>
        <w:jc w:val="both"/>
        <w:rPr>
          <w:rFonts w:ascii="Trebuchet MS" w:hAnsi="Trebuchet MS"/>
          <w:sz w:val="18"/>
          <w:szCs w:val="18"/>
        </w:rPr>
      </w:pPr>
    </w:p>
    <w:sectPr w:rsidR="00A30271" w:rsidRPr="00A30271">
      <w:pgSz w:w="12240" w:h="15840"/>
      <w:pgMar w:top="1440" w:right="151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ACA169" w14:textId="77777777" w:rsidR="001642AC" w:rsidRDefault="001642AC">
      <w:pPr>
        <w:spacing w:after="0" w:line="240" w:lineRule="auto"/>
      </w:pPr>
      <w:r>
        <w:separator/>
      </w:r>
    </w:p>
  </w:endnote>
  <w:endnote w:type="continuationSeparator" w:id="0">
    <w:p w14:paraId="07E2FF39" w14:textId="77777777" w:rsidR="001642AC" w:rsidRDefault="00164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661EAB" w14:textId="77777777" w:rsidR="001642AC" w:rsidRDefault="001642AC">
      <w:pPr>
        <w:spacing w:after="0" w:line="257" w:lineRule="auto"/>
        <w:ind w:left="0" w:firstLine="0"/>
      </w:pPr>
      <w:r>
        <w:separator/>
      </w:r>
    </w:p>
  </w:footnote>
  <w:footnote w:type="continuationSeparator" w:id="0">
    <w:p w14:paraId="3D4E246C" w14:textId="77777777" w:rsidR="001642AC" w:rsidRDefault="001642AC">
      <w:pPr>
        <w:spacing w:after="0" w:line="257" w:lineRule="auto"/>
        <w:ind w:left="0" w:firstLine="0"/>
      </w:pPr>
      <w:r>
        <w:continuationSeparator/>
      </w:r>
    </w:p>
  </w:footnote>
  <w:footnote w:id="1">
    <w:p w14:paraId="385EBF2C" w14:textId="77777777" w:rsidR="00621D04" w:rsidRPr="00B80EF1" w:rsidRDefault="00621D04" w:rsidP="00B80EF1">
      <w:pPr>
        <w:pStyle w:val="Textonotapie"/>
        <w:ind w:left="0" w:firstLine="0"/>
        <w:jc w:val="both"/>
        <w:rPr>
          <w:rFonts w:ascii="Trebuchet MS" w:hAnsi="Trebuchet MS"/>
          <w:sz w:val="16"/>
          <w:szCs w:val="16"/>
        </w:rPr>
      </w:pPr>
      <w:r w:rsidRPr="00B80EF1">
        <w:rPr>
          <w:rStyle w:val="Refdenotaalpie"/>
          <w:rFonts w:ascii="Trebuchet MS" w:hAnsi="Trebuchet MS"/>
          <w:sz w:val="16"/>
          <w:szCs w:val="16"/>
        </w:rPr>
        <w:footnoteRef/>
      </w:r>
      <w:r w:rsidR="004F4460" w:rsidRPr="00B80EF1">
        <w:rPr>
          <w:rFonts w:ascii="Trebuchet MS" w:hAnsi="Trebuchet MS"/>
          <w:sz w:val="16"/>
          <w:szCs w:val="16"/>
        </w:rPr>
        <w:t xml:space="preserve"> </w:t>
      </w:r>
      <w:r w:rsidRPr="00B80EF1">
        <w:rPr>
          <w:rFonts w:ascii="Trebuchet MS" w:hAnsi="Trebuchet MS"/>
          <w:sz w:val="16"/>
          <w:szCs w:val="16"/>
        </w:rPr>
        <w:t>Ministerio de Educación Nacional de Colombia. Asociación Colombiana de Universidades (</w:t>
      </w:r>
      <w:proofErr w:type="spellStart"/>
      <w:r w:rsidRPr="00B80EF1">
        <w:rPr>
          <w:rFonts w:ascii="Trebuchet MS" w:hAnsi="Trebuchet MS"/>
          <w:sz w:val="16"/>
          <w:szCs w:val="16"/>
        </w:rPr>
        <w:t>Ascun</w:t>
      </w:r>
      <w:proofErr w:type="spellEnd"/>
      <w:r w:rsidRPr="00B80EF1">
        <w:rPr>
          <w:rFonts w:ascii="Trebuchet MS" w:hAnsi="Trebuchet MS"/>
          <w:sz w:val="16"/>
          <w:szCs w:val="16"/>
        </w:rPr>
        <w:t xml:space="preserve">).  </w:t>
      </w:r>
      <w:r w:rsidRPr="00B80EF1">
        <w:rPr>
          <w:rFonts w:ascii="Trebuchet MS" w:hAnsi="Trebuchet MS"/>
          <w:i/>
          <w:sz w:val="16"/>
          <w:szCs w:val="16"/>
        </w:rPr>
        <w:t xml:space="preserve">Lineamientos Generales y Orientaciones  para la Educación Formal de Personas Jóvenes y Adultas en Colombia.  </w:t>
      </w:r>
      <w:r w:rsidRPr="00B80EF1">
        <w:rPr>
          <w:rFonts w:ascii="Trebuchet MS" w:hAnsi="Trebuchet MS"/>
          <w:sz w:val="16"/>
          <w:szCs w:val="16"/>
        </w:rPr>
        <w:t>2016—2017.</w:t>
      </w:r>
    </w:p>
  </w:footnote>
  <w:footnote w:id="2">
    <w:p w14:paraId="25D8D74C" w14:textId="77777777" w:rsidR="00162C5C" w:rsidRPr="002561D9" w:rsidRDefault="00162C5C" w:rsidP="00B80EF1">
      <w:pPr>
        <w:pStyle w:val="Textonotapie"/>
        <w:ind w:left="0" w:firstLine="0"/>
        <w:jc w:val="both"/>
        <w:rPr>
          <w:rFonts w:ascii="Trebuchet MS" w:hAnsi="Trebuchet MS"/>
          <w:sz w:val="16"/>
          <w:szCs w:val="16"/>
        </w:rPr>
      </w:pPr>
      <w:r w:rsidRPr="00B80EF1">
        <w:rPr>
          <w:rStyle w:val="Refdenotaalpie"/>
          <w:rFonts w:ascii="Trebuchet MS" w:hAnsi="Trebuchet MS"/>
          <w:sz w:val="16"/>
          <w:szCs w:val="16"/>
        </w:rPr>
        <w:footnoteRef/>
      </w:r>
      <w:r w:rsidRPr="00B80EF1">
        <w:rPr>
          <w:rFonts w:ascii="Trebuchet MS" w:hAnsi="Trebuchet MS"/>
          <w:sz w:val="16"/>
          <w:szCs w:val="16"/>
        </w:rPr>
        <w:t xml:space="preserve"> El estudio </w:t>
      </w:r>
      <w:r w:rsidRPr="002561D9">
        <w:rPr>
          <w:rFonts w:ascii="Trebuchet MS" w:hAnsi="Trebuchet MS"/>
          <w:sz w:val="16"/>
          <w:szCs w:val="16"/>
        </w:rPr>
        <w:t>SABE Colombia tiene como objetivo conocer la situación actual, en el ámbito rural y urbano, de la población de personas adultas mayores en Colombia, a través de la exploración y evaluación interdisciplinaria y a profundidad de la vejez y el envejecimiento, en el marco de los Determinantes del Envejecimiento Activo y desde el modelo de los Determinantes Sociales de la Salud. SABE Colombia hace parte del Sistema Nacional de Estudios y Encuestas Poblacionales para la Salud, del Ministerio de Salud y Protección Social con el fin de dirigir, reunir y consolidar todos los estudios relacionados con la salud en Colombia y disponer de información relevante, suficiente, oportuna, confiable y de calidad para la toma de decisiones en salud pública.</w:t>
      </w:r>
    </w:p>
  </w:footnote>
  <w:footnote w:id="3">
    <w:p w14:paraId="5279614C" w14:textId="68B491EA" w:rsidR="002561D9" w:rsidRPr="002561D9" w:rsidRDefault="002561D9" w:rsidP="002561D9">
      <w:pPr>
        <w:pStyle w:val="Textonotapie"/>
        <w:ind w:left="0" w:firstLine="0"/>
        <w:rPr>
          <w:rFonts w:ascii="Trebuchet MS" w:hAnsi="Trebuchet MS"/>
          <w:sz w:val="16"/>
          <w:szCs w:val="16"/>
        </w:rPr>
      </w:pPr>
      <w:r w:rsidRPr="002561D9">
        <w:rPr>
          <w:rStyle w:val="Refdenotaalpie"/>
          <w:rFonts w:ascii="Trebuchet MS" w:hAnsi="Trebuchet MS"/>
          <w:sz w:val="16"/>
          <w:szCs w:val="16"/>
        </w:rPr>
        <w:footnoteRef/>
      </w:r>
      <w:r w:rsidRPr="002561D9">
        <w:rPr>
          <w:rFonts w:ascii="Trebuchet MS" w:hAnsi="Trebuchet MS"/>
          <w:sz w:val="16"/>
          <w:szCs w:val="16"/>
        </w:rPr>
        <w:t xml:space="preserve"> Ministerio de Educación Nacional de Colombia. Asociación Colombiana de Universidades (</w:t>
      </w:r>
      <w:proofErr w:type="spellStart"/>
      <w:r w:rsidRPr="002561D9">
        <w:rPr>
          <w:rFonts w:ascii="Trebuchet MS" w:hAnsi="Trebuchet MS"/>
          <w:sz w:val="16"/>
          <w:szCs w:val="16"/>
        </w:rPr>
        <w:t>Ascun</w:t>
      </w:r>
      <w:proofErr w:type="spellEnd"/>
      <w:r w:rsidRPr="002561D9">
        <w:rPr>
          <w:rFonts w:ascii="Trebuchet MS" w:hAnsi="Trebuchet MS"/>
          <w:sz w:val="16"/>
          <w:szCs w:val="16"/>
        </w:rPr>
        <w:t>).  Lineamientos Generales y Orientaciones  para la Educación Formal de Personas Jóvenes y Adultas en Colombia.  2016—2017.</w:t>
      </w:r>
    </w:p>
  </w:footnote>
  <w:footnote w:id="4">
    <w:p w14:paraId="0AC8500F" w14:textId="77777777" w:rsidR="00D07041" w:rsidRPr="00B80EF1" w:rsidRDefault="00D07041" w:rsidP="00B80EF1">
      <w:pPr>
        <w:pStyle w:val="Textonotapie"/>
        <w:ind w:left="0" w:firstLine="0"/>
        <w:jc w:val="both"/>
        <w:rPr>
          <w:rFonts w:ascii="Trebuchet MS" w:hAnsi="Trebuchet MS"/>
          <w:sz w:val="16"/>
          <w:szCs w:val="16"/>
          <w:lang w:val="es-MX"/>
        </w:rPr>
      </w:pPr>
      <w:r w:rsidRPr="00B80EF1">
        <w:rPr>
          <w:rStyle w:val="Refdenotaalpie"/>
          <w:rFonts w:ascii="Trebuchet MS" w:hAnsi="Trebuchet MS"/>
          <w:sz w:val="16"/>
          <w:szCs w:val="16"/>
        </w:rPr>
        <w:footnoteRef/>
      </w:r>
      <w:r w:rsidRPr="00B80EF1">
        <w:rPr>
          <w:rFonts w:ascii="Trebuchet MS" w:hAnsi="Trebuchet MS"/>
          <w:sz w:val="16"/>
          <w:szCs w:val="16"/>
        </w:rPr>
        <w:t xml:space="preserve"> </w:t>
      </w:r>
      <w:r w:rsidRPr="00B80EF1">
        <w:rPr>
          <w:rFonts w:ascii="Trebuchet MS" w:hAnsi="Trebuchet MS"/>
          <w:sz w:val="16"/>
          <w:szCs w:val="16"/>
          <w:lang w:val="es-MX"/>
        </w:rPr>
        <w:t xml:space="preserve">Tomado </w:t>
      </w:r>
      <w:r w:rsidR="00443EA3" w:rsidRPr="00B80EF1">
        <w:rPr>
          <w:rFonts w:ascii="Trebuchet MS" w:hAnsi="Trebuchet MS"/>
          <w:sz w:val="16"/>
          <w:szCs w:val="16"/>
          <w:lang w:val="es-MX"/>
        </w:rPr>
        <w:t>de “Aproximación</w:t>
      </w:r>
      <w:r w:rsidRPr="00B80EF1">
        <w:rPr>
          <w:rFonts w:ascii="Trebuchet MS" w:hAnsi="Trebuchet MS"/>
          <w:sz w:val="16"/>
          <w:szCs w:val="16"/>
          <w:lang w:val="es-MX"/>
        </w:rPr>
        <w:t xml:space="preserve"> diagnóstica”, </w:t>
      </w:r>
      <w:r w:rsidRPr="00B80EF1">
        <w:rPr>
          <w:rFonts w:ascii="Trebuchet MS" w:hAnsi="Trebuchet MS"/>
          <w:sz w:val="16"/>
          <w:szCs w:val="16"/>
        </w:rPr>
        <w:t>documento “Lineamientos</w:t>
      </w:r>
      <w:r w:rsidRPr="00B80EF1">
        <w:rPr>
          <w:rFonts w:ascii="Trebuchet MS" w:hAnsi="Trebuchet MS"/>
          <w:i/>
          <w:sz w:val="16"/>
          <w:szCs w:val="16"/>
        </w:rPr>
        <w:t xml:space="preserve"> Generales y Orientaciones  para la Educación Formal de Personas Jóvenes y Adultas en Colombia”.</w:t>
      </w:r>
      <w:r w:rsidRPr="00B80EF1">
        <w:rPr>
          <w:rFonts w:ascii="Trebuchet MS" w:hAnsi="Trebuchet MS"/>
          <w:sz w:val="16"/>
          <w:szCs w:val="16"/>
        </w:rPr>
        <w:t xml:space="preserve"> Ministerio de Educación Nacional de Colombia. 2017. Pág. 33. </w:t>
      </w:r>
    </w:p>
  </w:footnote>
  <w:footnote w:id="5">
    <w:p w14:paraId="41B413EF" w14:textId="77777777" w:rsidR="003D4B38" w:rsidRPr="00B80EF1" w:rsidRDefault="003D4B38" w:rsidP="00B80EF1">
      <w:pPr>
        <w:pStyle w:val="Textonotapie"/>
        <w:ind w:left="0" w:firstLine="0"/>
        <w:rPr>
          <w:rFonts w:ascii="Trebuchet MS" w:hAnsi="Trebuchet MS"/>
          <w:sz w:val="16"/>
          <w:szCs w:val="16"/>
          <w:lang w:val="es-MX"/>
        </w:rPr>
      </w:pPr>
      <w:r w:rsidRPr="00B80EF1">
        <w:rPr>
          <w:rStyle w:val="Refdenotaalpie"/>
          <w:rFonts w:ascii="Trebuchet MS" w:hAnsi="Trebuchet MS"/>
          <w:sz w:val="16"/>
          <w:szCs w:val="16"/>
        </w:rPr>
        <w:footnoteRef/>
      </w:r>
      <w:r w:rsidRPr="00B80EF1">
        <w:rPr>
          <w:rFonts w:ascii="Trebuchet MS" w:hAnsi="Trebuchet MS"/>
          <w:sz w:val="16"/>
          <w:szCs w:val="16"/>
        </w:rPr>
        <w:t xml:space="preserve"> Lineamientos</w:t>
      </w:r>
      <w:r w:rsidRPr="00B80EF1">
        <w:rPr>
          <w:rFonts w:ascii="Trebuchet MS" w:hAnsi="Trebuchet MS"/>
          <w:i/>
          <w:sz w:val="16"/>
          <w:szCs w:val="16"/>
        </w:rPr>
        <w:t xml:space="preserve"> Generales y Orientaciones  para la Educación Formal de Personas Jóvenes y Adultas en Colombia”.</w:t>
      </w:r>
      <w:r w:rsidRPr="00B80EF1">
        <w:rPr>
          <w:rFonts w:ascii="Trebuchet MS" w:hAnsi="Trebuchet MS"/>
          <w:sz w:val="16"/>
          <w:szCs w:val="16"/>
        </w:rPr>
        <w:t xml:space="preserve"> Ministerio de Educación Nacional de Colombia. 2017</w:t>
      </w:r>
    </w:p>
  </w:footnote>
  <w:footnote w:id="6">
    <w:p w14:paraId="346D926A" w14:textId="27374361" w:rsidR="00365936" w:rsidRPr="00B80EF1" w:rsidRDefault="00365936" w:rsidP="00B80EF1">
      <w:pPr>
        <w:pStyle w:val="Textonotapie"/>
        <w:ind w:left="0" w:firstLine="0"/>
        <w:rPr>
          <w:rFonts w:ascii="Trebuchet MS" w:hAnsi="Trebuchet MS"/>
          <w:sz w:val="16"/>
          <w:szCs w:val="16"/>
          <w:lang w:val="es-MX"/>
        </w:rPr>
      </w:pPr>
      <w:r w:rsidRPr="00B80EF1">
        <w:rPr>
          <w:rStyle w:val="Refdenotaalpie"/>
          <w:rFonts w:ascii="Trebuchet MS" w:hAnsi="Trebuchet MS"/>
          <w:sz w:val="16"/>
          <w:szCs w:val="16"/>
        </w:rPr>
        <w:footnoteRef/>
      </w:r>
      <w:r w:rsidRPr="00B80EF1">
        <w:rPr>
          <w:rFonts w:ascii="Trebuchet MS" w:hAnsi="Trebuchet MS"/>
          <w:sz w:val="16"/>
          <w:szCs w:val="16"/>
        </w:rPr>
        <w:t xml:space="preserve"> </w:t>
      </w:r>
      <w:r w:rsidR="00B80EF1" w:rsidRPr="00B80EF1">
        <w:rPr>
          <w:rFonts w:ascii="Trebuchet MS" w:hAnsi="Trebuchet MS"/>
          <w:sz w:val="16"/>
          <w:szCs w:val="16"/>
        </w:rPr>
        <w:t xml:space="preserve">ibídem. </w:t>
      </w:r>
    </w:p>
  </w:footnote>
  <w:footnote w:id="7">
    <w:p w14:paraId="7C844335" w14:textId="735107F0" w:rsidR="00F329FC" w:rsidRPr="00B80EF1" w:rsidRDefault="00F329FC" w:rsidP="00B80EF1">
      <w:pPr>
        <w:pStyle w:val="Textonotapie"/>
        <w:ind w:left="0" w:firstLine="0"/>
        <w:rPr>
          <w:rFonts w:ascii="Trebuchet MS" w:hAnsi="Trebuchet MS"/>
          <w:sz w:val="16"/>
          <w:szCs w:val="16"/>
          <w:lang w:val="es-ES"/>
        </w:rPr>
      </w:pPr>
      <w:r w:rsidRPr="00B80EF1">
        <w:rPr>
          <w:rStyle w:val="Refdenotaalpie"/>
          <w:rFonts w:ascii="Trebuchet MS" w:hAnsi="Trebuchet MS"/>
          <w:sz w:val="16"/>
          <w:szCs w:val="16"/>
        </w:rPr>
        <w:footnoteRef/>
      </w:r>
      <w:r w:rsidRPr="00B80EF1">
        <w:rPr>
          <w:rFonts w:ascii="Trebuchet MS" w:hAnsi="Trebuchet MS"/>
          <w:sz w:val="16"/>
          <w:szCs w:val="16"/>
        </w:rPr>
        <w:t xml:space="preserve"> </w:t>
      </w:r>
    </w:p>
  </w:footnote>
  <w:footnote w:id="8">
    <w:p w14:paraId="32FC9042" w14:textId="0C8FA033" w:rsidR="009118B0" w:rsidRPr="004802AC" w:rsidRDefault="009118B0" w:rsidP="004802AC">
      <w:pPr>
        <w:pStyle w:val="Prrafodelista"/>
        <w:spacing w:after="0" w:line="240" w:lineRule="auto"/>
        <w:ind w:left="0" w:firstLine="0"/>
        <w:jc w:val="both"/>
        <w:rPr>
          <w:rFonts w:ascii="Trebuchet MS" w:hAnsi="Trebuchet MS"/>
          <w:sz w:val="16"/>
          <w:szCs w:val="16"/>
        </w:rPr>
      </w:pPr>
      <w:r w:rsidRPr="00B80EF1">
        <w:rPr>
          <w:rStyle w:val="Refdenotaalpie"/>
          <w:rFonts w:ascii="Trebuchet MS" w:hAnsi="Trebuchet MS"/>
          <w:sz w:val="16"/>
          <w:szCs w:val="16"/>
        </w:rPr>
        <w:footnoteRef/>
      </w:r>
      <w:r w:rsidRPr="00B80EF1">
        <w:rPr>
          <w:rFonts w:ascii="Trebuchet MS" w:hAnsi="Trebuchet MS"/>
          <w:sz w:val="16"/>
          <w:szCs w:val="16"/>
        </w:rPr>
        <w:t xml:space="preserve"> </w:t>
      </w:r>
      <w:r w:rsidR="00B80EF1" w:rsidRPr="004802AC">
        <w:rPr>
          <w:rFonts w:ascii="Trebuchet MS" w:hAnsi="Trebuchet MS"/>
          <w:i/>
          <w:sz w:val="16"/>
          <w:szCs w:val="16"/>
        </w:rPr>
        <w:t>Ley 29 de 1975</w:t>
      </w:r>
      <w:r w:rsidR="00B80EF1" w:rsidRPr="004802AC">
        <w:rPr>
          <w:rFonts w:ascii="Trebuchet MS" w:hAnsi="Trebuchet MS"/>
          <w:sz w:val="16"/>
          <w:szCs w:val="16"/>
        </w:rPr>
        <w:t xml:space="preserve">, </w:t>
      </w:r>
      <w:r w:rsidRPr="004802AC">
        <w:rPr>
          <w:rFonts w:ascii="Trebuchet MS" w:hAnsi="Trebuchet MS"/>
          <w:sz w:val="16"/>
          <w:szCs w:val="16"/>
        </w:rPr>
        <w:t xml:space="preserve">cuyo objetivo </w:t>
      </w:r>
      <w:r w:rsidR="00B80EF1" w:rsidRPr="004802AC">
        <w:rPr>
          <w:rFonts w:ascii="Trebuchet MS" w:hAnsi="Trebuchet MS"/>
          <w:sz w:val="16"/>
          <w:szCs w:val="16"/>
        </w:rPr>
        <w:t>era</w:t>
      </w:r>
      <w:r w:rsidRPr="004802AC">
        <w:rPr>
          <w:rFonts w:ascii="Trebuchet MS" w:hAnsi="Trebuchet MS"/>
          <w:sz w:val="16"/>
          <w:szCs w:val="16"/>
        </w:rPr>
        <w:t xml:space="preserve"> </w:t>
      </w:r>
      <w:r w:rsidR="00B80EF1" w:rsidRPr="004802AC">
        <w:rPr>
          <w:rFonts w:ascii="Trebuchet MS" w:hAnsi="Trebuchet MS"/>
          <w:sz w:val="16"/>
          <w:szCs w:val="16"/>
        </w:rPr>
        <w:t xml:space="preserve">garantizar la protección a la “ancianidad”, para lo cual creó el “fondo nacional de la ancianidad desprotegida”; </w:t>
      </w:r>
      <w:r w:rsidR="00B80EF1" w:rsidRPr="004802AC">
        <w:rPr>
          <w:rFonts w:ascii="Trebuchet MS" w:hAnsi="Trebuchet MS"/>
          <w:i/>
          <w:sz w:val="16"/>
          <w:szCs w:val="16"/>
        </w:rPr>
        <w:t>Decreto ley 2011 de 1976</w:t>
      </w:r>
      <w:r w:rsidR="00B80EF1" w:rsidRPr="004802AC">
        <w:rPr>
          <w:rFonts w:ascii="Trebuchet MS" w:hAnsi="Trebuchet MS"/>
          <w:sz w:val="16"/>
          <w:szCs w:val="16"/>
        </w:rPr>
        <w:t xml:space="preserve">, el cual creó un “consejo nacional de protección al anciano” y </w:t>
      </w:r>
      <w:r w:rsidRPr="004802AC">
        <w:rPr>
          <w:rFonts w:ascii="Trebuchet MS" w:hAnsi="Trebuchet MS"/>
          <w:sz w:val="16"/>
          <w:szCs w:val="16"/>
        </w:rPr>
        <w:t>estableció</w:t>
      </w:r>
      <w:r w:rsidR="00B80EF1" w:rsidRPr="004802AC">
        <w:rPr>
          <w:rFonts w:ascii="Trebuchet MS" w:hAnsi="Trebuchet MS"/>
          <w:sz w:val="16"/>
          <w:szCs w:val="16"/>
        </w:rPr>
        <w:t xml:space="preserve"> otras regulaciones pertinentes a la atención de los “adultos mayores”. Igualmente, se ordenó denominar a los hogares y “</w:t>
      </w:r>
      <w:proofErr w:type="spellStart"/>
      <w:r w:rsidR="00B80EF1" w:rsidRPr="004802AC">
        <w:rPr>
          <w:rFonts w:ascii="Trebuchet MS" w:hAnsi="Trebuchet MS"/>
          <w:sz w:val="16"/>
          <w:szCs w:val="16"/>
        </w:rPr>
        <w:t>ancianatos</w:t>
      </w:r>
      <w:proofErr w:type="spellEnd"/>
      <w:r w:rsidR="00B80EF1" w:rsidRPr="004802AC">
        <w:rPr>
          <w:rFonts w:ascii="Trebuchet MS" w:hAnsi="Trebuchet MS"/>
          <w:sz w:val="16"/>
          <w:szCs w:val="16"/>
        </w:rPr>
        <w:t xml:space="preserve"> como centros de bienestar del anciano (</w:t>
      </w:r>
      <w:proofErr w:type="spellStart"/>
      <w:r w:rsidR="00B80EF1" w:rsidRPr="004802AC">
        <w:rPr>
          <w:rFonts w:ascii="Trebuchet MS" w:hAnsi="Trebuchet MS"/>
          <w:sz w:val="16"/>
          <w:szCs w:val="16"/>
        </w:rPr>
        <w:t>cba</w:t>
      </w:r>
      <w:proofErr w:type="spellEnd"/>
      <w:r w:rsidR="00B80EF1" w:rsidRPr="004802AC">
        <w:rPr>
          <w:rFonts w:ascii="Trebuchet MS" w:hAnsi="Trebuchet MS"/>
          <w:sz w:val="16"/>
          <w:szCs w:val="16"/>
        </w:rPr>
        <w:t>)”</w:t>
      </w:r>
      <w:r w:rsidRPr="004802AC">
        <w:rPr>
          <w:rFonts w:ascii="Trebuchet MS" w:hAnsi="Trebuchet MS"/>
          <w:sz w:val="16"/>
          <w:szCs w:val="16"/>
        </w:rPr>
        <w:t xml:space="preserve">; </w:t>
      </w:r>
      <w:r w:rsidR="00B80EF1" w:rsidRPr="004802AC">
        <w:rPr>
          <w:rFonts w:ascii="Trebuchet MS" w:hAnsi="Trebuchet MS"/>
          <w:sz w:val="16"/>
          <w:szCs w:val="16"/>
        </w:rPr>
        <w:t xml:space="preserve">la </w:t>
      </w:r>
      <w:r w:rsidR="00B80EF1" w:rsidRPr="004802AC">
        <w:rPr>
          <w:rFonts w:ascii="Trebuchet MS" w:hAnsi="Trebuchet MS"/>
          <w:i/>
          <w:sz w:val="16"/>
          <w:szCs w:val="16"/>
        </w:rPr>
        <w:t>Ley 48 de 1986</w:t>
      </w:r>
      <w:r w:rsidR="00B80EF1" w:rsidRPr="004802AC">
        <w:rPr>
          <w:rFonts w:ascii="Trebuchet MS" w:hAnsi="Trebuchet MS"/>
          <w:sz w:val="16"/>
          <w:szCs w:val="16"/>
        </w:rPr>
        <w:t xml:space="preserve"> autorizó a las asambleas departamentales, concejos </w:t>
      </w:r>
      <w:proofErr w:type="spellStart"/>
      <w:r w:rsidR="00B80EF1" w:rsidRPr="004802AC">
        <w:rPr>
          <w:rFonts w:ascii="Trebuchet MS" w:hAnsi="Trebuchet MS"/>
          <w:sz w:val="16"/>
          <w:szCs w:val="16"/>
        </w:rPr>
        <w:t>intendenciales</w:t>
      </w:r>
      <w:proofErr w:type="spellEnd"/>
      <w:r w:rsidR="00B80EF1" w:rsidRPr="004802AC">
        <w:rPr>
          <w:rFonts w:ascii="Trebuchet MS" w:hAnsi="Trebuchet MS"/>
          <w:sz w:val="16"/>
          <w:szCs w:val="16"/>
        </w:rPr>
        <w:t xml:space="preserve">, </w:t>
      </w:r>
      <w:proofErr w:type="spellStart"/>
      <w:r w:rsidR="00B80EF1" w:rsidRPr="004802AC">
        <w:rPr>
          <w:rFonts w:ascii="Trebuchet MS" w:hAnsi="Trebuchet MS"/>
          <w:sz w:val="16"/>
          <w:szCs w:val="16"/>
        </w:rPr>
        <w:t>comisariales</w:t>
      </w:r>
      <w:proofErr w:type="spellEnd"/>
      <w:r w:rsidR="00B80EF1" w:rsidRPr="004802AC">
        <w:rPr>
          <w:rFonts w:ascii="Trebuchet MS" w:hAnsi="Trebuchet MS"/>
          <w:sz w:val="16"/>
          <w:szCs w:val="16"/>
        </w:rPr>
        <w:t xml:space="preserve"> y del distrito capital, para la emisión de una estampilla pro-construcción, dotación y funcionamiento de los “centros de bienestar del anciano”</w:t>
      </w:r>
      <w:r w:rsidRPr="004802AC">
        <w:rPr>
          <w:rFonts w:ascii="Trebuchet MS" w:hAnsi="Trebuchet MS"/>
          <w:sz w:val="16"/>
          <w:szCs w:val="16"/>
        </w:rPr>
        <w:t>; l</w:t>
      </w:r>
      <w:r w:rsidR="00B80EF1" w:rsidRPr="004802AC">
        <w:rPr>
          <w:rFonts w:ascii="Trebuchet MS" w:hAnsi="Trebuchet MS"/>
          <w:sz w:val="16"/>
          <w:szCs w:val="16"/>
        </w:rPr>
        <w:t xml:space="preserve">a </w:t>
      </w:r>
      <w:r w:rsidR="00B80EF1" w:rsidRPr="004802AC">
        <w:rPr>
          <w:rFonts w:ascii="Trebuchet MS" w:hAnsi="Trebuchet MS"/>
          <w:i/>
          <w:sz w:val="16"/>
          <w:szCs w:val="16"/>
        </w:rPr>
        <w:t>L</w:t>
      </w:r>
      <w:r w:rsidRPr="004802AC">
        <w:rPr>
          <w:rFonts w:ascii="Trebuchet MS" w:hAnsi="Trebuchet MS" w:cs="Arial"/>
          <w:i/>
          <w:color w:val="4B4949"/>
          <w:sz w:val="16"/>
          <w:szCs w:val="16"/>
        </w:rPr>
        <w:t>ey 687 de 2001</w:t>
      </w:r>
      <w:r w:rsidRPr="004802AC">
        <w:rPr>
          <w:rFonts w:ascii="Trebuchet MS" w:hAnsi="Trebuchet MS" w:cs="Arial"/>
          <w:color w:val="4B4949"/>
          <w:sz w:val="16"/>
          <w:szCs w:val="16"/>
        </w:rPr>
        <w:t xml:space="preserve">, que </w:t>
      </w:r>
      <w:r w:rsidR="00B80EF1" w:rsidRPr="004802AC">
        <w:rPr>
          <w:rFonts w:ascii="Trebuchet MS" w:hAnsi="Trebuchet MS" w:cs="Arial"/>
          <w:color w:val="4B4949"/>
          <w:sz w:val="16"/>
          <w:szCs w:val="16"/>
        </w:rPr>
        <w:t>reformó la antigua ley 48 de 1986 y define algunos conceptos import</w:t>
      </w:r>
      <w:r w:rsidRPr="004802AC">
        <w:rPr>
          <w:rFonts w:ascii="Trebuchet MS" w:hAnsi="Trebuchet MS" w:cs="Arial"/>
          <w:color w:val="4B4949"/>
          <w:sz w:val="16"/>
          <w:szCs w:val="16"/>
        </w:rPr>
        <w:t>antes en materia de protección y garantía de derechos de personas de la “tercera edad”, así como los derechos de los “ancianos” y los deberes de la sociedad para con ellos. Se destaca en este sentido el numeral 5 del artículo 6 el cual establece como parte de los servicios m</w:t>
      </w:r>
      <w:r w:rsidR="00B80EF1" w:rsidRPr="004802AC">
        <w:rPr>
          <w:rFonts w:ascii="Trebuchet MS" w:hAnsi="Trebuchet MS" w:cs="Arial"/>
          <w:color w:val="4B4949"/>
          <w:sz w:val="16"/>
          <w:szCs w:val="16"/>
        </w:rPr>
        <w:t>ínimos que ofrecerán los centros de vida los siguientes: (…) 5) capacitación en actividades productivas de acuerdo con los talentos, gustos y preferencias de la población beneficiaria.</w:t>
      </w:r>
    </w:p>
  </w:footnote>
  <w:footnote w:id="9">
    <w:p w14:paraId="3AF69CEA" w14:textId="45E6059D" w:rsidR="00B80EF1" w:rsidRPr="004802AC" w:rsidRDefault="00B80EF1" w:rsidP="00B80EF1">
      <w:pPr>
        <w:pStyle w:val="Textonotapie"/>
        <w:ind w:left="0" w:firstLine="0"/>
        <w:rPr>
          <w:rFonts w:ascii="Trebuchet MS" w:hAnsi="Trebuchet MS"/>
          <w:sz w:val="16"/>
          <w:szCs w:val="16"/>
          <w:lang w:val="es-ES"/>
        </w:rPr>
      </w:pPr>
      <w:r w:rsidRPr="004802AC">
        <w:rPr>
          <w:rStyle w:val="Refdenotaalpie"/>
          <w:rFonts w:ascii="Trebuchet MS" w:hAnsi="Trebuchet MS"/>
          <w:sz w:val="16"/>
          <w:szCs w:val="16"/>
        </w:rPr>
        <w:footnoteRef/>
      </w:r>
      <w:r w:rsidRPr="004802AC">
        <w:rPr>
          <w:rStyle w:val="Refdenotaalpie"/>
          <w:rFonts w:ascii="Trebuchet MS" w:hAnsi="Trebuchet MS"/>
          <w:sz w:val="16"/>
          <w:szCs w:val="16"/>
        </w:rPr>
        <w:t xml:space="preserve"> </w:t>
      </w:r>
      <w:r w:rsidRPr="004802AC">
        <w:rPr>
          <w:rFonts w:ascii="Trebuchet MS" w:hAnsi="Trebuchet MS"/>
          <w:sz w:val="16"/>
          <w:szCs w:val="16"/>
        </w:rPr>
        <w:t>Articulo 2 Ley 1251 de 2008</w:t>
      </w:r>
    </w:p>
  </w:footnote>
  <w:footnote w:id="10">
    <w:p w14:paraId="1DAE2DA8" w14:textId="379A0498" w:rsidR="00553F81" w:rsidRPr="004802AC" w:rsidRDefault="00553F81" w:rsidP="00553F81">
      <w:pPr>
        <w:pStyle w:val="Textonotapie"/>
        <w:ind w:left="0" w:firstLine="0"/>
        <w:rPr>
          <w:rFonts w:ascii="Trebuchet MS" w:hAnsi="Trebuchet MS"/>
          <w:sz w:val="16"/>
          <w:szCs w:val="16"/>
          <w:lang w:val="es-ES"/>
        </w:rPr>
      </w:pPr>
      <w:r w:rsidRPr="004802AC">
        <w:rPr>
          <w:rStyle w:val="Refdenotaalpie"/>
          <w:rFonts w:ascii="Trebuchet MS" w:hAnsi="Trebuchet MS"/>
          <w:sz w:val="16"/>
          <w:szCs w:val="16"/>
        </w:rPr>
        <w:footnoteRef/>
      </w:r>
      <w:r w:rsidRPr="004802AC">
        <w:rPr>
          <w:rFonts w:ascii="Trebuchet MS" w:hAnsi="Trebuchet MS"/>
          <w:sz w:val="16"/>
          <w:szCs w:val="16"/>
        </w:rPr>
        <w:t xml:space="preserve"> Articulo 6 numeral 1g</w:t>
      </w:r>
    </w:p>
  </w:footnote>
  <w:footnote w:id="11">
    <w:p w14:paraId="4F877BBD" w14:textId="7AEE6D0E" w:rsidR="00553F81" w:rsidRPr="004802AC" w:rsidRDefault="00553F81" w:rsidP="00553F81">
      <w:pPr>
        <w:pStyle w:val="Textonotapie"/>
        <w:ind w:left="0" w:firstLine="0"/>
        <w:rPr>
          <w:rFonts w:ascii="Trebuchet MS" w:hAnsi="Trebuchet MS"/>
          <w:sz w:val="16"/>
          <w:szCs w:val="16"/>
        </w:rPr>
      </w:pPr>
      <w:r w:rsidRPr="004802AC">
        <w:rPr>
          <w:rStyle w:val="Refdenotaalpie"/>
          <w:rFonts w:ascii="Trebuchet MS" w:hAnsi="Trebuchet MS"/>
          <w:sz w:val="16"/>
          <w:szCs w:val="16"/>
        </w:rPr>
        <w:footnoteRef/>
      </w:r>
      <w:r w:rsidRPr="004802AC">
        <w:rPr>
          <w:rFonts w:ascii="Trebuchet MS" w:hAnsi="Trebuchet MS"/>
          <w:sz w:val="16"/>
          <w:szCs w:val="16"/>
        </w:rPr>
        <w:t xml:space="preserve"> Articulo 6 numeral  1j</w:t>
      </w:r>
    </w:p>
  </w:footnote>
  <w:footnote w:id="12">
    <w:p w14:paraId="095CE2C2" w14:textId="122849AB" w:rsidR="00553F81" w:rsidRPr="00072B2A" w:rsidRDefault="00553F81" w:rsidP="00553F81">
      <w:pPr>
        <w:pStyle w:val="Textonotapie"/>
        <w:ind w:left="0" w:firstLine="0"/>
        <w:rPr>
          <w:rFonts w:ascii="Trebuchet MS" w:hAnsi="Trebuchet MS"/>
          <w:sz w:val="16"/>
          <w:szCs w:val="16"/>
        </w:rPr>
      </w:pPr>
      <w:r w:rsidRPr="00072B2A">
        <w:rPr>
          <w:rFonts w:ascii="Trebuchet MS" w:hAnsi="Trebuchet MS"/>
          <w:sz w:val="16"/>
          <w:szCs w:val="16"/>
        </w:rPr>
        <w:footnoteRef/>
      </w:r>
      <w:r w:rsidRPr="00072B2A">
        <w:rPr>
          <w:rFonts w:ascii="Trebuchet MS" w:hAnsi="Trebuchet MS"/>
          <w:sz w:val="16"/>
          <w:szCs w:val="16"/>
        </w:rPr>
        <w:t xml:space="preserve"> Articulo 6 numeral 1p</w:t>
      </w:r>
    </w:p>
  </w:footnote>
  <w:footnote w:id="13">
    <w:p w14:paraId="2480E193" w14:textId="29AFC52E" w:rsidR="00553F81" w:rsidRPr="004802AC" w:rsidRDefault="00553F81" w:rsidP="00553F81">
      <w:pPr>
        <w:pStyle w:val="Textonotapie"/>
        <w:ind w:left="0" w:firstLine="0"/>
        <w:rPr>
          <w:rFonts w:ascii="Trebuchet MS" w:hAnsi="Trebuchet MS"/>
          <w:sz w:val="16"/>
          <w:szCs w:val="16"/>
        </w:rPr>
      </w:pPr>
      <w:r w:rsidRPr="004802AC">
        <w:rPr>
          <w:rFonts w:ascii="Trebuchet MS" w:hAnsi="Trebuchet MS"/>
          <w:sz w:val="16"/>
          <w:szCs w:val="16"/>
        </w:rPr>
        <w:footnoteRef/>
      </w:r>
      <w:r w:rsidRPr="004802AC">
        <w:rPr>
          <w:rFonts w:ascii="Trebuchet MS" w:hAnsi="Trebuchet MS"/>
          <w:sz w:val="16"/>
          <w:szCs w:val="16"/>
        </w:rPr>
        <w:t xml:space="preserve"> Articulo 6 numeral 1r</w:t>
      </w:r>
    </w:p>
  </w:footnote>
  <w:footnote w:id="14">
    <w:p w14:paraId="2452A53A" w14:textId="7EA905C4" w:rsidR="00372C7A" w:rsidRPr="004802AC" w:rsidRDefault="00372C7A" w:rsidP="00372C7A">
      <w:pPr>
        <w:pStyle w:val="Textonotapie"/>
        <w:ind w:left="0" w:firstLine="0"/>
        <w:rPr>
          <w:rFonts w:ascii="Trebuchet MS" w:hAnsi="Trebuchet MS"/>
          <w:sz w:val="16"/>
          <w:szCs w:val="16"/>
        </w:rPr>
      </w:pPr>
      <w:r w:rsidRPr="004802AC">
        <w:rPr>
          <w:rFonts w:ascii="Trebuchet MS" w:hAnsi="Trebuchet MS"/>
          <w:sz w:val="16"/>
          <w:szCs w:val="16"/>
        </w:rPr>
        <w:footnoteRef/>
      </w:r>
      <w:r w:rsidRPr="004802AC">
        <w:rPr>
          <w:rFonts w:ascii="Trebuchet MS" w:hAnsi="Trebuchet MS"/>
          <w:sz w:val="16"/>
          <w:szCs w:val="16"/>
        </w:rPr>
        <w:t xml:space="preserve"> Articulo 6 numeral 2p</w:t>
      </w:r>
    </w:p>
  </w:footnote>
  <w:footnote w:id="15">
    <w:p w14:paraId="43EEEA5F" w14:textId="0F0E841C" w:rsidR="00E51E65" w:rsidRPr="004802AC" w:rsidRDefault="00E51E65" w:rsidP="003E0B60">
      <w:pPr>
        <w:pStyle w:val="Textonotapie"/>
        <w:ind w:left="0" w:firstLine="0"/>
        <w:rPr>
          <w:rFonts w:ascii="Trebuchet MS" w:hAnsi="Trebuchet MS"/>
          <w:sz w:val="16"/>
          <w:szCs w:val="16"/>
        </w:rPr>
      </w:pPr>
      <w:r w:rsidRPr="004802AC">
        <w:rPr>
          <w:rFonts w:ascii="Trebuchet MS" w:hAnsi="Trebuchet MS"/>
          <w:sz w:val="16"/>
          <w:szCs w:val="16"/>
        </w:rPr>
        <w:footnoteRef/>
      </w:r>
      <w:r w:rsidRPr="004802AC">
        <w:rPr>
          <w:rFonts w:ascii="Trebuchet MS" w:hAnsi="Trebuchet MS"/>
          <w:sz w:val="16"/>
          <w:szCs w:val="16"/>
        </w:rPr>
        <w:t xml:space="preserve"> Articulo 6 numeral 2i</w:t>
      </w:r>
    </w:p>
  </w:footnote>
  <w:footnote w:id="16">
    <w:p w14:paraId="0A65C2CB" w14:textId="145D6047" w:rsidR="003E0B60" w:rsidRPr="004802AC" w:rsidRDefault="003E0B60" w:rsidP="003E0B60">
      <w:pPr>
        <w:pStyle w:val="Textonotapie"/>
        <w:ind w:left="0" w:firstLine="0"/>
        <w:rPr>
          <w:rFonts w:ascii="Trebuchet MS" w:hAnsi="Trebuchet MS"/>
          <w:sz w:val="16"/>
          <w:szCs w:val="16"/>
        </w:rPr>
      </w:pPr>
      <w:r w:rsidRPr="004802AC">
        <w:rPr>
          <w:rFonts w:ascii="Trebuchet MS" w:hAnsi="Trebuchet MS"/>
          <w:sz w:val="16"/>
          <w:szCs w:val="16"/>
        </w:rPr>
        <w:footnoteRef/>
      </w:r>
      <w:r w:rsidRPr="004802AC">
        <w:rPr>
          <w:rFonts w:ascii="Trebuchet MS" w:hAnsi="Trebuchet MS"/>
          <w:sz w:val="16"/>
          <w:szCs w:val="16"/>
        </w:rPr>
        <w:t xml:space="preserve"> Articulo 8 </w:t>
      </w:r>
    </w:p>
  </w:footnote>
  <w:footnote w:id="17">
    <w:p w14:paraId="29CF53F3" w14:textId="69E2A380" w:rsidR="003E0B60" w:rsidRPr="004802AC" w:rsidRDefault="003E0B60" w:rsidP="003E0B60">
      <w:pPr>
        <w:pStyle w:val="Textonotapie"/>
        <w:ind w:left="0" w:firstLine="0"/>
        <w:rPr>
          <w:rFonts w:ascii="Trebuchet MS" w:hAnsi="Trebuchet MS"/>
          <w:sz w:val="16"/>
          <w:szCs w:val="16"/>
        </w:rPr>
      </w:pPr>
      <w:r w:rsidRPr="004802AC">
        <w:rPr>
          <w:rFonts w:ascii="Trebuchet MS" w:hAnsi="Trebuchet MS"/>
          <w:sz w:val="16"/>
          <w:szCs w:val="16"/>
        </w:rPr>
        <w:footnoteRef/>
      </w:r>
      <w:r w:rsidRPr="004802AC">
        <w:rPr>
          <w:rFonts w:ascii="Trebuchet MS" w:hAnsi="Trebuchet MS"/>
          <w:sz w:val="16"/>
          <w:szCs w:val="16"/>
        </w:rPr>
        <w:t xml:space="preserve"> Articulo 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04A1B"/>
    <w:multiLevelType w:val="hybridMultilevel"/>
    <w:tmpl w:val="49C6B6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B480025"/>
    <w:multiLevelType w:val="hybridMultilevel"/>
    <w:tmpl w:val="61E88028"/>
    <w:lvl w:ilvl="0" w:tplc="02246100">
      <w:start w:val="2"/>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C6EA274">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064DAD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714A19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4768C30">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31A8786">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F90E968">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6C6D9FC">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1EE1A42">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F4362A9"/>
    <w:multiLevelType w:val="hybridMultilevel"/>
    <w:tmpl w:val="BF4C3E9E"/>
    <w:lvl w:ilvl="0" w:tplc="4AFE7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1A2D5A"/>
    <w:multiLevelType w:val="hybridMultilevel"/>
    <w:tmpl w:val="0DB658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BDF40D5"/>
    <w:multiLevelType w:val="hybridMultilevel"/>
    <w:tmpl w:val="61E88028"/>
    <w:lvl w:ilvl="0" w:tplc="02246100">
      <w:start w:val="2"/>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C6EA274">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064DAD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714A19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4768C30">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31A8786">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F90E968">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6C6D9FC">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1EE1A42">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1DA3F55"/>
    <w:multiLevelType w:val="hybridMultilevel"/>
    <w:tmpl w:val="83CA6506"/>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6" w15:restartNumberingAfterBreak="0">
    <w:nsid w:val="64210F98"/>
    <w:multiLevelType w:val="hybridMultilevel"/>
    <w:tmpl w:val="9DD44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4D3072"/>
    <w:multiLevelType w:val="hybridMultilevel"/>
    <w:tmpl w:val="E9D8B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4A1F09"/>
    <w:multiLevelType w:val="hybridMultilevel"/>
    <w:tmpl w:val="CF7C7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206FFD"/>
    <w:multiLevelType w:val="hybridMultilevel"/>
    <w:tmpl w:val="1ED41402"/>
    <w:lvl w:ilvl="0" w:tplc="F04897F6">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abstractNumId w:val="1"/>
  </w:num>
  <w:num w:numId="2">
    <w:abstractNumId w:val="4"/>
  </w:num>
  <w:num w:numId="3">
    <w:abstractNumId w:val="9"/>
  </w:num>
  <w:num w:numId="4">
    <w:abstractNumId w:val="5"/>
  </w:num>
  <w:num w:numId="5">
    <w:abstractNumId w:val="7"/>
  </w:num>
  <w:num w:numId="6">
    <w:abstractNumId w:val="8"/>
  </w:num>
  <w:num w:numId="7">
    <w:abstractNumId w:val="2"/>
  </w:num>
  <w:num w:numId="8">
    <w:abstractNumId w:val="6"/>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951"/>
    <w:rsid w:val="00021EA5"/>
    <w:rsid w:val="00035458"/>
    <w:rsid w:val="000666F0"/>
    <w:rsid w:val="00072B2A"/>
    <w:rsid w:val="00087F68"/>
    <w:rsid w:val="000C6A57"/>
    <w:rsid w:val="00147CD2"/>
    <w:rsid w:val="001561CE"/>
    <w:rsid w:val="00162C5C"/>
    <w:rsid w:val="001642AC"/>
    <w:rsid w:val="0017078C"/>
    <w:rsid w:val="00180CCB"/>
    <w:rsid w:val="001819EF"/>
    <w:rsid w:val="001952B6"/>
    <w:rsid w:val="001D672E"/>
    <w:rsid w:val="001E081C"/>
    <w:rsid w:val="001E1CAA"/>
    <w:rsid w:val="001F01E3"/>
    <w:rsid w:val="0024603A"/>
    <w:rsid w:val="002561D9"/>
    <w:rsid w:val="00274D85"/>
    <w:rsid w:val="002944E1"/>
    <w:rsid w:val="002B1890"/>
    <w:rsid w:val="002D38BD"/>
    <w:rsid w:val="00331FD8"/>
    <w:rsid w:val="00333617"/>
    <w:rsid w:val="00345418"/>
    <w:rsid w:val="00365936"/>
    <w:rsid w:val="00367BDE"/>
    <w:rsid w:val="00372C7A"/>
    <w:rsid w:val="003C1CE3"/>
    <w:rsid w:val="003C4A05"/>
    <w:rsid w:val="003D4B38"/>
    <w:rsid w:val="003E0B60"/>
    <w:rsid w:val="00431B26"/>
    <w:rsid w:val="004320E2"/>
    <w:rsid w:val="00443EA3"/>
    <w:rsid w:val="00463AAC"/>
    <w:rsid w:val="004802AC"/>
    <w:rsid w:val="004F2B7D"/>
    <w:rsid w:val="004F4460"/>
    <w:rsid w:val="004F4C3C"/>
    <w:rsid w:val="00510A0E"/>
    <w:rsid w:val="00542C59"/>
    <w:rsid w:val="005535DE"/>
    <w:rsid w:val="00553F81"/>
    <w:rsid w:val="00556D0A"/>
    <w:rsid w:val="005618DE"/>
    <w:rsid w:val="0056234A"/>
    <w:rsid w:val="00585876"/>
    <w:rsid w:val="00591F30"/>
    <w:rsid w:val="005934D9"/>
    <w:rsid w:val="005A6BA8"/>
    <w:rsid w:val="005E1199"/>
    <w:rsid w:val="006073C5"/>
    <w:rsid w:val="006104EB"/>
    <w:rsid w:val="0061201F"/>
    <w:rsid w:val="00621D04"/>
    <w:rsid w:val="00622607"/>
    <w:rsid w:val="00640A3C"/>
    <w:rsid w:val="006463A4"/>
    <w:rsid w:val="00656ED0"/>
    <w:rsid w:val="00693257"/>
    <w:rsid w:val="00712EF5"/>
    <w:rsid w:val="00765573"/>
    <w:rsid w:val="00787D43"/>
    <w:rsid w:val="007A4E26"/>
    <w:rsid w:val="007F7951"/>
    <w:rsid w:val="007F7EBD"/>
    <w:rsid w:val="00827BD3"/>
    <w:rsid w:val="00845904"/>
    <w:rsid w:val="008C0A3E"/>
    <w:rsid w:val="008D4123"/>
    <w:rsid w:val="009118B0"/>
    <w:rsid w:val="00940848"/>
    <w:rsid w:val="00962D18"/>
    <w:rsid w:val="00974F34"/>
    <w:rsid w:val="00987A63"/>
    <w:rsid w:val="009B3D0F"/>
    <w:rsid w:val="009C2257"/>
    <w:rsid w:val="009E1A8C"/>
    <w:rsid w:val="00A201C5"/>
    <w:rsid w:val="00A30271"/>
    <w:rsid w:val="00A44C7C"/>
    <w:rsid w:val="00A46E86"/>
    <w:rsid w:val="00A6610B"/>
    <w:rsid w:val="00A76813"/>
    <w:rsid w:val="00A97A11"/>
    <w:rsid w:val="00AD444A"/>
    <w:rsid w:val="00AD77E9"/>
    <w:rsid w:val="00AE22F2"/>
    <w:rsid w:val="00B114A8"/>
    <w:rsid w:val="00B35461"/>
    <w:rsid w:val="00B72E38"/>
    <w:rsid w:val="00B80EF1"/>
    <w:rsid w:val="00BA19A9"/>
    <w:rsid w:val="00BC46AD"/>
    <w:rsid w:val="00BD6230"/>
    <w:rsid w:val="00BF5EE0"/>
    <w:rsid w:val="00C00C1A"/>
    <w:rsid w:val="00C2288F"/>
    <w:rsid w:val="00C33C90"/>
    <w:rsid w:val="00C36613"/>
    <w:rsid w:val="00C73985"/>
    <w:rsid w:val="00C83A5C"/>
    <w:rsid w:val="00C85D91"/>
    <w:rsid w:val="00CC50F2"/>
    <w:rsid w:val="00CE0ECA"/>
    <w:rsid w:val="00CE4FA5"/>
    <w:rsid w:val="00CF27AD"/>
    <w:rsid w:val="00CF5BCB"/>
    <w:rsid w:val="00D02128"/>
    <w:rsid w:val="00D05AAC"/>
    <w:rsid w:val="00D07041"/>
    <w:rsid w:val="00D072D4"/>
    <w:rsid w:val="00D209CD"/>
    <w:rsid w:val="00D275F9"/>
    <w:rsid w:val="00D657A5"/>
    <w:rsid w:val="00D70E2E"/>
    <w:rsid w:val="00D84028"/>
    <w:rsid w:val="00D95B85"/>
    <w:rsid w:val="00DB5BD6"/>
    <w:rsid w:val="00DE7CB2"/>
    <w:rsid w:val="00E01800"/>
    <w:rsid w:val="00E06D1F"/>
    <w:rsid w:val="00E405CF"/>
    <w:rsid w:val="00E427F5"/>
    <w:rsid w:val="00E43F55"/>
    <w:rsid w:val="00E47915"/>
    <w:rsid w:val="00E51E65"/>
    <w:rsid w:val="00E760EE"/>
    <w:rsid w:val="00E822B8"/>
    <w:rsid w:val="00E867CD"/>
    <w:rsid w:val="00EB30F5"/>
    <w:rsid w:val="00ED05A2"/>
    <w:rsid w:val="00ED2509"/>
    <w:rsid w:val="00EF38D1"/>
    <w:rsid w:val="00F10AE4"/>
    <w:rsid w:val="00F24444"/>
    <w:rsid w:val="00F329FC"/>
    <w:rsid w:val="00F42E16"/>
    <w:rsid w:val="00F46E95"/>
    <w:rsid w:val="00F5481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89F86"/>
  <w15:docId w15:val="{BCA0412E-D878-45EA-A67B-C75CD1ED9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41" w:lineRule="auto"/>
      <w:ind w:left="730" w:hanging="370"/>
    </w:pPr>
    <w:rPr>
      <w:rFonts w:ascii="Calibri" w:eastAsia="Calibri" w:hAnsi="Calibri" w:cs="Calibri"/>
      <w:color w:val="000000"/>
      <w:sz w:val="24"/>
    </w:rPr>
  </w:style>
  <w:style w:type="paragraph" w:styleId="Ttulo1">
    <w:name w:val="heading 1"/>
    <w:next w:val="Normal"/>
    <w:link w:val="Ttulo1Car"/>
    <w:uiPriority w:val="9"/>
    <w:unhideWhenUsed/>
    <w:qFormat/>
    <w:pPr>
      <w:keepNext/>
      <w:keepLines/>
      <w:spacing w:after="0"/>
      <w:ind w:left="10" w:hanging="10"/>
      <w:outlineLvl w:val="0"/>
    </w:pPr>
    <w:rPr>
      <w:rFonts w:ascii="Calibri" w:eastAsia="Calibri" w:hAnsi="Calibri" w:cs="Calibri"/>
      <w:b/>
      <w:color w:val="000000"/>
      <w:sz w:val="24"/>
    </w:rPr>
  </w:style>
  <w:style w:type="paragraph" w:styleId="Ttulo3">
    <w:name w:val="heading 3"/>
    <w:basedOn w:val="Normal"/>
    <w:next w:val="Normal"/>
    <w:link w:val="Ttulo3Car"/>
    <w:uiPriority w:val="9"/>
    <w:semiHidden/>
    <w:unhideWhenUsed/>
    <w:qFormat/>
    <w:rsid w:val="00162C5C"/>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b/>
      <w:color w:val="000000"/>
      <w:sz w:val="24"/>
    </w:rPr>
  </w:style>
  <w:style w:type="paragraph" w:customStyle="1" w:styleId="footnotedescription">
    <w:name w:val="footnote description"/>
    <w:next w:val="Normal"/>
    <w:link w:val="footnotedescriptionChar"/>
    <w:hidden/>
    <w:pPr>
      <w:spacing w:after="0" w:line="257" w:lineRule="auto"/>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paragraph" w:styleId="HTMLconformatoprevio">
    <w:name w:val="HTML Preformatted"/>
    <w:basedOn w:val="Normal"/>
    <w:link w:val="HTMLconformatoprevioCar"/>
    <w:uiPriority w:val="99"/>
    <w:semiHidden/>
    <w:unhideWhenUsed/>
    <w:rsid w:val="00E47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conformatoprevioCar">
    <w:name w:val="HTML con formato previo Car"/>
    <w:basedOn w:val="Fuentedeprrafopredeter"/>
    <w:link w:val="HTMLconformatoprevio"/>
    <w:uiPriority w:val="99"/>
    <w:semiHidden/>
    <w:rsid w:val="00E47915"/>
    <w:rPr>
      <w:rFonts w:ascii="Courier New" w:eastAsia="Times New Roman" w:hAnsi="Courier New" w:cs="Courier New"/>
      <w:sz w:val="20"/>
      <w:szCs w:val="20"/>
    </w:rPr>
  </w:style>
  <w:style w:type="paragraph" w:styleId="Prrafodelista">
    <w:name w:val="List Paragraph"/>
    <w:basedOn w:val="Normal"/>
    <w:uiPriority w:val="34"/>
    <w:qFormat/>
    <w:rsid w:val="00A6610B"/>
    <w:pPr>
      <w:ind w:left="720"/>
      <w:contextualSpacing/>
    </w:pPr>
  </w:style>
  <w:style w:type="paragraph" w:styleId="Textonotapie">
    <w:name w:val="footnote text"/>
    <w:basedOn w:val="Normal"/>
    <w:link w:val="TextonotapieCar"/>
    <w:uiPriority w:val="99"/>
    <w:unhideWhenUsed/>
    <w:rsid w:val="006104EB"/>
    <w:pPr>
      <w:spacing w:after="0" w:line="240" w:lineRule="auto"/>
    </w:pPr>
    <w:rPr>
      <w:sz w:val="20"/>
      <w:szCs w:val="20"/>
    </w:rPr>
  </w:style>
  <w:style w:type="character" w:customStyle="1" w:styleId="TextonotapieCar">
    <w:name w:val="Texto nota pie Car"/>
    <w:basedOn w:val="Fuentedeprrafopredeter"/>
    <w:link w:val="Textonotapie"/>
    <w:uiPriority w:val="99"/>
    <w:rsid w:val="006104EB"/>
    <w:rPr>
      <w:rFonts w:ascii="Calibri" w:eastAsia="Calibri" w:hAnsi="Calibri" w:cs="Calibri"/>
      <w:color w:val="000000"/>
      <w:sz w:val="20"/>
      <w:szCs w:val="20"/>
    </w:rPr>
  </w:style>
  <w:style w:type="character" w:styleId="Refdenotaalpie">
    <w:name w:val="footnote reference"/>
    <w:basedOn w:val="Fuentedeprrafopredeter"/>
    <w:uiPriority w:val="99"/>
    <w:semiHidden/>
    <w:unhideWhenUsed/>
    <w:rsid w:val="006104EB"/>
    <w:rPr>
      <w:vertAlign w:val="superscript"/>
    </w:rPr>
  </w:style>
  <w:style w:type="character" w:styleId="Refdecomentario">
    <w:name w:val="annotation reference"/>
    <w:basedOn w:val="Fuentedeprrafopredeter"/>
    <w:uiPriority w:val="99"/>
    <w:semiHidden/>
    <w:unhideWhenUsed/>
    <w:rsid w:val="00D05AAC"/>
    <w:rPr>
      <w:sz w:val="16"/>
      <w:szCs w:val="16"/>
    </w:rPr>
  </w:style>
  <w:style w:type="paragraph" w:styleId="Textocomentario">
    <w:name w:val="annotation text"/>
    <w:basedOn w:val="Normal"/>
    <w:link w:val="TextocomentarioCar"/>
    <w:uiPriority w:val="99"/>
    <w:semiHidden/>
    <w:unhideWhenUsed/>
    <w:rsid w:val="00D05AA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05AAC"/>
    <w:rPr>
      <w:rFonts w:ascii="Calibri" w:eastAsia="Calibri" w:hAnsi="Calibri" w:cs="Calibri"/>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D05AAC"/>
    <w:rPr>
      <w:b/>
      <w:bCs/>
    </w:rPr>
  </w:style>
  <w:style w:type="character" w:customStyle="1" w:styleId="AsuntodelcomentarioCar">
    <w:name w:val="Asunto del comentario Car"/>
    <w:basedOn w:val="TextocomentarioCar"/>
    <w:link w:val="Asuntodelcomentario"/>
    <w:uiPriority w:val="99"/>
    <w:semiHidden/>
    <w:rsid w:val="00D05AAC"/>
    <w:rPr>
      <w:rFonts w:ascii="Calibri" w:eastAsia="Calibri" w:hAnsi="Calibri" w:cs="Calibri"/>
      <w:b/>
      <w:bCs/>
      <w:color w:val="000000"/>
      <w:sz w:val="20"/>
      <w:szCs w:val="20"/>
    </w:rPr>
  </w:style>
  <w:style w:type="paragraph" w:styleId="Textodeglobo">
    <w:name w:val="Balloon Text"/>
    <w:basedOn w:val="Normal"/>
    <w:link w:val="TextodegloboCar"/>
    <w:uiPriority w:val="99"/>
    <w:semiHidden/>
    <w:unhideWhenUsed/>
    <w:rsid w:val="00D05AA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05AAC"/>
    <w:rPr>
      <w:rFonts w:ascii="Segoe UI" w:eastAsia="Calibri" w:hAnsi="Segoe UI" w:cs="Segoe UI"/>
      <w:color w:val="000000"/>
      <w:sz w:val="18"/>
      <w:szCs w:val="18"/>
    </w:rPr>
  </w:style>
  <w:style w:type="character" w:styleId="Hipervnculo">
    <w:name w:val="Hyperlink"/>
    <w:basedOn w:val="Fuentedeprrafopredeter"/>
    <w:uiPriority w:val="99"/>
    <w:semiHidden/>
    <w:unhideWhenUsed/>
    <w:rsid w:val="009118B0"/>
    <w:rPr>
      <w:color w:val="0000FF"/>
      <w:u w:val="single"/>
    </w:rPr>
  </w:style>
  <w:style w:type="paragraph" w:styleId="NormalWeb">
    <w:name w:val="Normal (Web)"/>
    <w:basedOn w:val="Normal"/>
    <w:uiPriority w:val="99"/>
    <w:semiHidden/>
    <w:unhideWhenUsed/>
    <w:rsid w:val="009118B0"/>
    <w:pPr>
      <w:spacing w:before="100" w:beforeAutospacing="1" w:after="100" w:afterAutospacing="1" w:line="240" w:lineRule="auto"/>
      <w:ind w:left="0" w:firstLine="0"/>
    </w:pPr>
    <w:rPr>
      <w:rFonts w:ascii="Times New Roman" w:eastAsia="Times New Roman" w:hAnsi="Times New Roman" w:cs="Times New Roman"/>
      <w:color w:val="auto"/>
      <w:szCs w:val="24"/>
      <w:lang w:val="es-ES" w:eastAsia="es-ES"/>
    </w:rPr>
  </w:style>
  <w:style w:type="character" w:customStyle="1" w:styleId="baj">
    <w:name w:val="b_aj"/>
    <w:basedOn w:val="Fuentedeprrafopredeter"/>
    <w:rsid w:val="009118B0"/>
  </w:style>
  <w:style w:type="character" w:customStyle="1" w:styleId="Ttulo3Car">
    <w:name w:val="Título 3 Car"/>
    <w:basedOn w:val="Fuentedeprrafopredeter"/>
    <w:link w:val="Ttulo3"/>
    <w:uiPriority w:val="9"/>
    <w:semiHidden/>
    <w:rsid w:val="00162C5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43167">
      <w:bodyDiv w:val="1"/>
      <w:marLeft w:val="0"/>
      <w:marRight w:val="0"/>
      <w:marTop w:val="0"/>
      <w:marBottom w:val="0"/>
      <w:divBdr>
        <w:top w:val="none" w:sz="0" w:space="0" w:color="auto"/>
        <w:left w:val="none" w:sz="0" w:space="0" w:color="auto"/>
        <w:bottom w:val="none" w:sz="0" w:space="0" w:color="auto"/>
        <w:right w:val="none" w:sz="0" w:space="0" w:color="auto"/>
      </w:divBdr>
    </w:div>
    <w:div w:id="158231964">
      <w:bodyDiv w:val="1"/>
      <w:marLeft w:val="0"/>
      <w:marRight w:val="0"/>
      <w:marTop w:val="0"/>
      <w:marBottom w:val="0"/>
      <w:divBdr>
        <w:top w:val="none" w:sz="0" w:space="0" w:color="auto"/>
        <w:left w:val="none" w:sz="0" w:space="0" w:color="auto"/>
        <w:bottom w:val="none" w:sz="0" w:space="0" w:color="auto"/>
        <w:right w:val="none" w:sz="0" w:space="0" w:color="auto"/>
      </w:divBdr>
    </w:div>
    <w:div w:id="403987247">
      <w:bodyDiv w:val="1"/>
      <w:marLeft w:val="0"/>
      <w:marRight w:val="0"/>
      <w:marTop w:val="0"/>
      <w:marBottom w:val="0"/>
      <w:divBdr>
        <w:top w:val="none" w:sz="0" w:space="0" w:color="auto"/>
        <w:left w:val="none" w:sz="0" w:space="0" w:color="auto"/>
        <w:bottom w:val="none" w:sz="0" w:space="0" w:color="auto"/>
        <w:right w:val="none" w:sz="0" w:space="0" w:color="auto"/>
      </w:divBdr>
    </w:div>
    <w:div w:id="661005377">
      <w:bodyDiv w:val="1"/>
      <w:marLeft w:val="0"/>
      <w:marRight w:val="0"/>
      <w:marTop w:val="0"/>
      <w:marBottom w:val="0"/>
      <w:divBdr>
        <w:top w:val="none" w:sz="0" w:space="0" w:color="auto"/>
        <w:left w:val="none" w:sz="0" w:space="0" w:color="auto"/>
        <w:bottom w:val="none" w:sz="0" w:space="0" w:color="auto"/>
        <w:right w:val="none" w:sz="0" w:space="0" w:color="auto"/>
      </w:divBdr>
    </w:div>
    <w:div w:id="926380203">
      <w:bodyDiv w:val="1"/>
      <w:marLeft w:val="0"/>
      <w:marRight w:val="0"/>
      <w:marTop w:val="0"/>
      <w:marBottom w:val="0"/>
      <w:divBdr>
        <w:top w:val="none" w:sz="0" w:space="0" w:color="auto"/>
        <w:left w:val="none" w:sz="0" w:space="0" w:color="auto"/>
        <w:bottom w:val="none" w:sz="0" w:space="0" w:color="auto"/>
        <w:right w:val="none" w:sz="0" w:space="0" w:color="auto"/>
      </w:divBdr>
    </w:div>
    <w:div w:id="1199197647">
      <w:bodyDiv w:val="1"/>
      <w:marLeft w:val="0"/>
      <w:marRight w:val="0"/>
      <w:marTop w:val="0"/>
      <w:marBottom w:val="0"/>
      <w:divBdr>
        <w:top w:val="none" w:sz="0" w:space="0" w:color="auto"/>
        <w:left w:val="none" w:sz="0" w:space="0" w:color="auto"/>
        <w:bottom w:val="none" w:sz="0" w:space="0" w:color="auto"/>
        <w:right w:val="none" w:sz="0" w:space="0" w:color="auto"/>
      </w:divBdr>
    </w:div>
    <w:div w:id="1586843590">
      <w:bodyDiv w:val="1"/>
      <w:marLeft w:val="0"/>
      <w:marRight w:val="0"/>
      <w:marTop w:val="0"/>
      <w:marBottom w:val="0"/>
      <w:divBdr>
        <w:top w:val="none" w:sz="0" w:space="0" w:color="auto"/>
        <w:left w:val="none" w:sz="0" w:space="0" w:color="auto"/>
        <w:bottom w:val="none" w:sz="0" w:space="0" w:color="auto"/>
        <w:right w:val="none" w:sz="0" w:space="0" w:color="auto"/>
      </w:divBdr>
    </w:div>
    <w:div w:id="1826506688">
      <w:bodyDiv w:val="1"/>
      <w:marLeft w:val="0"/>
      <w:marRight w:val="0"/>
      <w:marTop w:val="0"/>
      <w:marBottom w:val="0"/>
      <w:divBdr>
        <w:top w:val="none" w:sz="0" w:space="0" w:color="auto"/>
        <w:left w:val="none" w:sz="0" w:space="0" w:color="auto"/>
        <w:bottom w:val="none" w:sz="0" w:space="0" w:color="auto"/>
        <w:right w:val="none" w:sz="0" w:space="0" w:color="auto"/>
      </w:divBdr>
    </w:div>
    <w:div w:id="198334482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852B8-B6C5-4967-B333-7C4BA575B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2798</Words>
  <Characters>15391</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 Rafeh</dc:creator>
  <cp:keywords/>
  <cp:lastModifiedBy>Mary Silva</cp:lastModifiedBy>
  <cp:revision>2</cp:revision>
  <dcterms:created xsi:type="dcterms:W3CDTF">2019-01-28T19:45:00Z</dcterms:created>
  <dcterms:modified xsi:type="dcterms:W3CDTF">2019-01-28T19:45:00Z</dcterms:modified>
</cp:coreProperties>
</file>